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804D" w14:textId="77777777" w:rsidR="002E6FF7" w:rsidRDefault="002E6FF7" w:rsidP="005B6C67">
      <w:pPr>
        <w:jc w:val="center"/>
        <w:rPr>
          <w:b/>
          <w:bCs/>
          <w:sz w:val="28"/>
          <w:szCs w:val="28"/>
        </w:rPr>
      </w:pPr>
    </w:p>
    <w:p w14:paraId="3D7B0EC6" w14:textId="4B26D4BF" w:rsidR="001016D7" w:rsidRDefault="001016D7" w:rsidP="005B6C67">
      <w:pPr>
        <w:jc w:val="center"/>
        <w:rPr>
          <w:b/>
          <w:bCs/>
          <w:sz w:val="28"/>
          <w:szCs w:val="28"/>
        </w:rPr>
      </w:pPr>
      <w:proofErr w:type="gramStart"/>
      <w:r w:rsidRPr="001016D7">
        <w:rPr>
          <w:b/>
          <w:bCs/>
          <w:sz w:val="28"/>
          <w:szCs w:val="28"/>
        </w:rPr>
        <w:t>Oslavka,o.p.s.</w:t>
      </w:r>
      <w:proofErr w:type="gramEnd"/>
      <w:r w:rsidRPr="001016D7">
        <w:rPr>
          <w:b/>
          <w:bCs/>
          <w:sz w:val="28"/>
          <w:szCs w:val="28"/>
        </w:rPr>
        <w:t xml:space="preserve"> jako nositel „Strategie komunitně vedeného místního rozvoje Oslavka,o.p.s. na období 2021-2027“</w:t>
      </w:r>
    </w:p>
    <w:p w14:paraId="0ED3A6EF" w14:textId="77777777" w:rsidR="002E6FF7" w:rsidRDefault="002E6FF7" w:rsidP="001016D7">
      <w:pPr>
        <w:jc w:val="center"/>
        <w:rPr>
          <w:sz w:val="28"/>
          <w:szCs w:val="28"/>
        </w:rPr>
      </w:pPr>
    </w:p>
    <w:p w14:paraId="6FA11EEB" w14:textId="7B7842D7" w:rsidR="002E6FF7" w:rsidRDefault="002E6FF7" w:rsidP="002E6FF7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1016D7">
        <w:rPr>
          <w:sz w:val="28"/>
          <w:szCs w:val="28"/>
        </w:rPr>
        <w:t>yhlašuje</w:t>
      </w:r>
    </w:p>
    <w:p w14:paraId="0FF4215E" w14:textId="659BA72F" w:rsidR="001016D7" w:rsidRDefault="00EF4A33" w:rsidP="005B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1016D7" w:rsidRPr="001016D7">
        <w:rPr>
          <w:b/>
          <w:bCs/>
          <w:sz w:val="28"/>
          <w:szCs w:val="28"/>
        </w:rPr>
        <w:t>. výzvu k předkládání projektových záměrů z Operačního programu Technologie a aplikace pro konkurenceschopnost 2021-2027</w:t>
      </w:r>
    </w:p>
    <w:p w14:paraId="6E5C3350" w14:textId="77777777" w:rsidR="002E6FF7" w:rsidRDefault="002E6FF7" w:rsidP="005B6C67">
      <w:pPr>
        <w:jc w:val="center"/>
        <w:rPr>
          <w:b/>
          <w:bCs/>
          <w:sz w:val="28"/>
          <w:szCs w:val="28"/>
        </w:rPr>
      </w:pPr>
    </w:p>
    <w:p w14:paraId="6C3A283D" w14:textId="6447E0F9" w:rsidR="002E6FF7" w:rsidRDefault="001016D7" w:rsidP="00C761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2E6FF7">
        <w:rPr>
          <w:sz w:val="28"/>
          <w:szCs w:val="28"/>
        </w:rPr>
        <w:t> </w:t>
      </w:r>
      <w:r>
        <w:rPr>
          <w:sz w:val="28"/>
          <w:szCs w:val="28"/>
        </w:rPr>
        <w:t>názvem</w:t>
      </w:r>
    </w:p>
    <w:p w14:paraId="5BC7A996" w14:textId="660A37D0" w:rsidR="001016D7" w:rsidRPr="005B6C67" w:rsidRDefault="001016D7" w:rsidP="005B6C67">
      <w:pPr>
        <w:jc w:val="center"/>
        <w:rPr>
          <w:b/>
          <w:bCs/>
          <w:sz w:val="28"/>
          <w:szCs w:val="28"/>
        </w:rPr>
      </w:pPr>
      <w:r w:rsidRPr="001016D7">
        <w:rPr>
          <w:b/>
          <w:bCs/>
          <w:sz w:val="28"/>
          <w:szCs w:val="28"/>
        </w:rPr>
        <w:t>„</w:t>
      </w:r>
      <w:r w:rsidR="00ED2697">
        <w:rPr>
          <w:b/>
          <w:bCs/>
          <w:sz w:val="28"/>
          <w:szCs w:val="28"/>
        </w:rPr>
        <w:t>3</w:t>
      </w:r>
      <w:r w:rsidRPr="001016D7">
        <w:rPr>
          <w:b/>
          <w:bCs/>
          <w:sz w:val="28"/>
          <w:szCs w:val="28"/>
        </w:rPr>
        <w:t xml:space="preserve">. výzva </w:t>
      </w:r>
      <w:proofErr w:type="gramStart"/>
      <w:r w:rsidRPr="001016D7">
        <w:rPr>
          <w:b/>
          <w:bCs/>
          <w:sz w:val="28"/>
          <w:szCs w:val="28"/>
        </w:rPr>
        <w:t>Oslavka,o.p.s.</w:t>
      </w:r>
      <w:proofErr w:type="gramEnd"/>
      <w:r w:rsidRPr="001016D7">
        <w:rPr>
          <w:b/>
          <w:bCs/>
          <w:sz w:val="28"/>
          <w:szCs w:val="28"/>
        </w:rPr>
        <w:t xml:space="preserve"> - OP TAK – 202</w:t>
      </w:r>
      <w:r w:rsidR="00ED2697">
        <w:rPr>
          <w:b/>
          <w:bCs/>
          <w:sz w:val="28"/>
          <w:szCs w:val="28"/>
        </w:rPr>
        <w:t>5</w:t>
      </w:r>
      <w:r w:rsidRPr="001016D7">
        <w:rPr>
          <w:b/>
          <w:bCs/>
          <w:sz w:val="28"/>
          <w:szCs w:val="28"/>
        </w:rPr>
        <w:t>“</w:t>
      </w:r>
    </w:p>
    <w:p w14:paraId="219A558A" w14:textId="1D5FCD82" w:rsidR="001016D7" w:rsidRDefault="001016D7" w:rsidP="005B6C67">
      <w:pPr>
        <w:jc w:val="center"/>
        <w:rPr>
          <w:sz w:val="28"/>
          <w:szCs w:val="28"/>
        </w:rPr>
      </w:pPr>
      <w:r>
        <w:rPr>
          <w:sz w:val="28"/>
          <w:szCs w:val="28"/>
        </w:rPr>
        <w:t>VAZBA NA VÝZVU ŘO OP TAK Č. 01_023_026 „Operačního programu Technologie a aplikace pro konkurenceschopnost 2021-2027 – Technologie pro MAS (CLLD) – Výzva I.“</w:t>
      </w:r>
    </w:p>
    <w:p w14:paraId="103A0C73" w14:textId="77777777" w:rsidR="002E6FF7" w:rsidRDefault="002E6FF7" w:rsidP="005B6C67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1016D7" w14:paraId="66907638" w14:textId="77777777" w:rsidTr="001016D7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1C82717" w14:textId="2E148C34" w:rsidR="001016D7" w:rsidRPr="001016D7" w:rsidRDefault="001016D7" w:rsidP="001016D7">
            <w:pPr>
              <w:jc w:val="center"/>
              <w:rPr>
                <w:b/>
                <w:bCs/>
                <w:sz w:val="24"/>
                <w:szCs w:val="24"/>
              </w:rPr>
            </w:pPr>
            <w:r w:rsidRPr="001016D7">
              <w:rPr>
                <w:b/>
                <w:bCs/>
                <w:sz w:val="24"/>
                <w:szCs w:val="24"/>
              </w:rPr>
              <w:t xml:space="preserve">Identifikace výzvy </w:t>
            </w:r>
            <w:proofErr w:type="gramStart"/>
            <w:r w:rsidRPr="001016D7">
              <w:rPr>
                <w:b/>
                <w:bCs/>
                <w:sz w:val="24"/>
                <w:szCs w:val="24"/>
              </w:rPr>
              <w:t>Oslavka,o.p.s.</w:t>
            </w:r>
            <w:proofErr w:type="gramEnd"/>
          </w:p>
        </w:tc>
      </w:tr>
      <w:tr w:rsidR="001016D7" w14:paraId="1F748CF1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F142C84" w14:textId="24E9F422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Číslo a název výzvy MAS</w:t>
            </w: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3FCAC8D" w14:textId="3DE9ABF0" w:rsidR="001016D7" w:rsidRPr="005B6C67" w:rsidRDefault="00ED2697" w:rsidP="00674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435D" w:rsidRPr="005B6C67">
              <w:rPr>
                <w:sz w:val="20"/>
                <w:szCs w:val="20"/>
              </w:rPr>
              <w:t xml:space="preserve">. výzva </w:t>
            </w:r>
            <w:proofErr w:type="gramStart"/>
            <w:r w:rsidR="0067435D" w:rsidRPr="005B6C67">
              <w:rPr>
                <w:sz w:val="20"/>
                <w:szCs w:val="20"/>
              </w:rPr>
              <w:t>Oslavka,o.p.s.</w:t>
            </w:r>
            <w:proofErr w:type="gramEnd"/>
            <w:r w:rsidR="0067435D" w:rsidRPr="005B6C67">
              <w:rPr>
                <w:sz w:val="20"/>
                <w:szCs w:val="20"/>
              </w:rPr>
              <w:t xml:space="preserve"> – OP TAK –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1016D7" w14:paraId="15B38A20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54FCCB8" w14:textId="29367A8D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Strategický cíl strategice CLLD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716DA082" w14:textId="097B6F94" w:rsidR="001016D7" w:rsidRPr="005B6C67" w:rsidRDefault="005F4E27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4. Místní ekonomika a zaměstnanost</w:t>
            </w:r>
          </w:p>
        </w:tc>
      </w:tr>
      <w:tr w:rsidR="001016D7" w14:paraId="5DEAD5E8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3C69A82" w14:textId="155C7233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Specifický cíl PR OP TAK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15223F80" w14:textId="0697D2B7" w:rsidR="001016D7" w:rsidRPr="005B6C67" w:rsidRDefault="005F4E27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4.1 Podpora zaměstnanosti</w:t>
            </w:r>
          </w:p>
        </w:tc>
      </w:tr>
      <w:tr w:rsidR="001016D7" w14:paraId="11133250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51D1F44" w14:textId="2D0D6484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Priorita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19454275" w14:textId="1250E2A2" w:rsidR="001016D7" w:rsidRPr="005B6C67" w:rsidRDefault="005F4E27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4.1.1 Podpora zvyšování zaměstnanosti na území MAS</w:t>
            </w:r>
          </w:p>
        </w:tc>
      </w:tr>
      <w:tr w:rsidR="001016D7" w14:paraId="4DFF0791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87DD632" w14:textId="4480BCFA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Číslo výzvy MAS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7E8EF94D" w14:textId="2BF0B311" w:rsidR="001016D7" w:rsidRPr="005B6C67" w:rsidRDefault="0067435D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1</w:t>
            </w:r>
          </w:p>
        </w:tc>
      </w:tr>
      <w:tr w:rsidR="001016D7" w14:paraId="6143E014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BD2249C" w14:textId="618F3481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 xml:space="preserve">Druh výzvy 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57D353D4" w14:textId="1C70BC33" w:rsidR="001016D7" w:rsidRPr="005B6C67" w:rsidRDefault="0067435D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Kolová</w:t>
            </w:r>
          </w:p>
        </w:tc>
      </w:tr>
      <w:tr w:rsidR="0067435D" w14:paraId="1AE9EA4C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F1594D3" w14:textId="6EB69D65" w:rsidR="0067435D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Model hodnocení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59FB5B49" w14:textId="2743BE2E" w:rsidR="0067435D" w:rsidRPr="005B6C67" w:rsidRDefault="0067435D" w:rsidP="0067435D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Jednokolový</w:t>
            </w:r>
          </w:p>
        </w:tc>
      </w:tr>
      <w:tr w:rsidR="001016D7" w14:paraId="08E9D7D9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3F846F8" w14:textId="0C28D3FF" w:rsidR="001016D7" w:rsidRPr="0067435D" w:rsidRDefault="005F4E27" w:rsidP="0067435D">
            <w:pPr>
              <w:rPr>
                <w:b/>
                <w:bCs/>
              </w:rPr>
            </w:pPr>
            <w:r>
              <w:rPr>
                <w:b/>
                <w:bCs/>
              </w:rPr>
              <w:t>Odkaz na výzvu</w:t>
            </w: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75A8E" w14:textId="6FCA1CB8" w:rsidR="005F4E27" w:rsidRPr="005B6C67" w:rsidRDefault="005F4E27" w:rsidP="005F4E27">
            <w:pPr>
              <w:rPr>
                <w:sz w:val="20"/>
                <w:szCs w:val="20"/>
              </w:rPr>
            </w:pPr>
            <w:hyperlink r:id="rId10" w:history="1">
              <w:r w:rsidRPr="005B6C67">
                <w:rPr>
                  <w:rStyle w:val="Hypertextovodkaz"/>
                  <w:sz w:val="20"/>
                  <w:szCs w:val="20"/>
                </w:rPr>
                <w:t>https://www.oslavka.cz/aktualni-vyzvy/</w:t>
              </w:r>
            </w:hyperlink>
          </w:p>
        </w:tc>
      </w:tr>
    </w:tbl>
    <w:p w14:paraId="2DED8EEA" w14:textId="77777777" w:rsidR="001016D7" w:rsidRDefault="001016D7" w:rsidP="005B6C6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1016D7" w14:paraId="3B71A023" w14:textId="77777777" w:rsidTr="001016D7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C98EA1" w14:textId="542702B2" w:rsidR="001016D7" w:rsidRPr="001016D7" w:rsidRDefault="001016D7" w:rsidP="001F0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Identifikace nadřazené výzvy Řídícího orgánu (ŘO)</w:t>
            </w:r>
          </w:p>
        </w:tc>
      </w:tr>
      <w:tr w:rsidR="001016D7" w14:paraId="5548C806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1193CE7" w14:textId="7272C625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Název operačního programu nadřazené výzvy MAS</w:t>
            </w: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4229C3" w14:textId="126D6BC1" w:rsidR="001016D7" w:rsidRPr="005B6C67" w:rsidRDefault="0067435D" w:rsidP="005B6C67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Operační program Technologie a aplikace pro konkurenceschopnosti 2021-2027 (OP TAK)</w:t>
            </w:r>
          </w:p>
        </w:tc>
      </w:tr>
      <w:tr w:rsidR="001016D7" w14:paraId="1CECC10B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42E7222" w14:textId="6AFDB4AD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 xml:space="preserve">Číslo a název nadřazené </w:t>
            </w:r>
            <w:proofErr w:type="gramStart"/>
            <w:r w:rsidRPr="0067435D">
              <w:rPr>
                <w:b/>
                <w:bCs/>
              </w:rPr>
              <w:t>výzvy  ŘO</w:t>
            </w:r>
            <w:proofErr w:type="gramEnd"/>
            <w:r w:rsidRPr="0067435D">
              <w:rPr>
                <w:b/>
                <w:bCs/>
              </w:rPr>
              <w:t xml:space="preserve"> OP TAK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64DD6807" w14:textId="47E217AC" w:rsidR="001016D7" w:rsidRPr="005B6C67" w:rsidRDefault="0067435D" w:rsidP="005B6C67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01_23_026 Technologie pro MAS (CLLD) – výzva I.</w:t>
            </w:r>
          </w:p>
        </w:tc>
      </w:tr>
      <w:tr w:rsidR="001016D7" w14:paraId="57093601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1B67712" w14:textId="36CD0D0D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Cíl politiky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1002D099" w14:textId="7C86095C" w:rsidR="001016D7" w:rsidRPr="005B6C67" w:rsidRDefault="0067435D" w:rsidP="005B6C67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1. Konkurenceschopnější a inteligentnější Evropa díky podpoře inovativní a inteligentní transformace a regionální propojení IKT</w:t>
            </w:r>
          </w:p>
        </w:tc>
      </w:tr>
      <w:tr w:rsidR="001016D7" w14:paraId="34B89647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7699597" w14:textId="14199F54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Priorita programu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489C716F" w14:textId="52070862" w:rsidR="001016D7" w:rsidRPr="005B6C67" w:rsidRDefault="0067435D" w:rsidP="005B6C67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2. Rozvoj podnikání a konkurenceschopnosti MSP</w:t>
            </w:r>
          </w:p>
        </w:tc>
      </w:tr>
      <w:tr w:rsidR="001016D7" w14:paraId="4FB98CE7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869EB4D" w14:textId="7EF44F1D" w:rsidR="001016D7" w:rsidRPr="0067435D" w:rsidRDefault="0067435D" w:rsidP="0067435D">
            <w:pPr>
              <w:rPr>
                <w:b/>
                <w:bCs/>
              </w:rPr>
            </w:pPr>
            <w:r w:rsidRPr="0067435D">
              <w:rPr>
                <w:b/>
                <w:bCs/>
              </w:rPr>
              <w:t>Specifický cíl programu</w:t>
            </w: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74A3B8" w14:textId="44A226EF" w:rsidR="001016D7" w:rsidRPr="005B6C67" w:rsidRDefault="005F4E27" w:rsidP="005B6C67">
            <w:pPr>
              <w:rPr>
                <w:sz w:val="20"/>
                <w:szCs w:val="20"/>
              </w:rPr>
            </w:pPr>
            <w:r w:rsidRPr="005B6C67">
              <w:rPr>
                <w:sz w:val="20"/>
                <w:szCs w:val="20"/>
              </w:rPr>
              <w:t>2.1. Posilování udržitelného růstu a konkurenceschopnosti malých a středních podniků a vytváření pracovních míst v malých a středních podnicích, mimo jiné prostřednictvím produktivních investic</w:t>
            </w:r>
          </w:p>
        </w:tc>
      </w:tr>
    </w:tbl>
    <w:p w14:paraId="2763A4D0" w14:textId="77777777" w:rsidR="002E6FF7" w:rsidRDefault="002E6FF7" w:rsidP="00C7611E"/>
    <w:p w14:paraId="58D7DC3D" w14:textId="77777777" w:rsidR="002E6FF7" w:rsidRDefault="002E6FF7" w:rsidP="001016D7">
      <w:pPr>
        <w:jc w:val="center"/>
      </w:pPr>
    </w:p>
    <w:p w14:paraId="7C8B46CB" w14:textId="77777777" w:rsidR="002E6FF7" w:rsidRDefault="002E6FF7" w:rsidP="001016D7">
      <w:pPr>
        <w:jc w:val="center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5B6C67" w14:paraId="526DC153" w14:textId="77777777" w:rsidTr="001F0432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9C62B08" w14:textId="017C9215" w:rsidR="005B6C67" w:rsidRPr="001016D7" w:rsidRDefault="005B6C67" w:rsidP="001F0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Termíny výzvy </w:t>
            </w:r>
            <w:proofErr w:type="gramStart"/>
            <w:r>
              <w:rPr>
                <w:b/>
                <w:bCs/>
                <w:sz w:val="24"/>
                <w:szCs w:val="24"/>
              </w:rPr>
              <w:t>Oslavka,o.p.s.</w:t>
            </w:r>
            <w:proofErr w:type="gramEnd"/>
          </w:p>
        </w:tc>
      </w:tr>
      <w:tr w:rsidR="005B6C67" w14:paraId="58C608BA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79E6AD0" w14:textId="5EB9F986" w:rsidR="005B6C67" w:rsidRPr="0067435D" w:rsidRDefault="005B6C67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Datum vyhlášení výzvy MAS</w:t>
            </w: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3748959" w14:textId="024E428E" w:rsidR="005B6C67" w:rsidRPr="005B6C67" w:rsidRDefault="00CA0C22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</w:t>
            </w:r>
            <w:r w:rsidR="005B6C67">
              <w:rPr>
                <w:sz w:val="20"/>
                <w:szCs w:val="20"/>
              </w:rPr>
              <w:t>, 8:00</w:t>
            </w:r>
          </w:p>
        </w:tc>
      </w:tr>
      <w:tr w:rsidR="005B6C67" w14:paraId="7E922640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B075C7D" w14:textId="4A6EF2A7" w:rsidR="005B6C67" w:rsidRPr="0067435D" w:rsidRDefault="005B6C67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Datum a čas zahájení příjmu projektových záměrů na MAS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5473EE84" w14:textId="56D4EF7B" w:rsidR="005B6C67" w:rsidRPr="005B6C67" w:rsidRDefault="00CA0C22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9.4.2025,</w:t>
            </w:r>
            <w:r w:rsidR="005B6C67">
              <w:rPr>
                <w:sz w:val="20"/>
                <w:szCs w:val="20"/>
              </w:rPr>
              <w:t xml:space="preserve"> 8:00</w:t>
            </w:r>
          </w:p>
        </w:tc>
      </w:tr>
      <w:tr w:rsidR="005B6C67" w14:paraId="0E7AA193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7D25F75" w14:textId="37F4AF1E" w:rsidR="005B6C67" w:rsidRPr="0067435D" w:rsidRDefault="005B6C67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Datum a čas ukončení příjmu projektových záměrů na MAS</w:t>
            </w:r>
            <w:r w:rsidRPr="0067435D">
              <w:rPr>
                <w:b/>
                <w:bCs/>
              </w:rPr>
              <w:t xml:space="preserve"> 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6CA4EF3B" w14:textId="73C87D1A" w:rsidR="005B6C67" w:rsidRPr="005B6C67" w:rsidRDefault="00CA0C22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B6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5B6C6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="005B6C67">
              <w:rPr>
                <w:sz w:val="20"/>
                <w:szCs w:val="20"/>
              </w:rPr>
              <w:t xml:space="preserve"> 12:00</w:t>
            </w:r>
          </w:p>
        </w:tc>
      </w:tr>
      <w:tr w:rsidR="005B6C67" w14:paraId="2F1ED54A" w14:textId="77777777" w:rsidTr="00C7611E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F940788" w14:textId="52840273" w:rsidR="005B6C67" w:rsidRPr="0067435D" w:rsidRDefault="005B6C67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Nejzazší datum pro ukončení fyzické realizace projektu</w:t>
            </w: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F1B0F8" w14:textId="646A2E33" w:rsidR="005B6C67" w:rsidRPr="005B6C67" w:rsidRDefault="005B6C67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30.6.2026</w:t>
            </w:r>
          </w:p>
        </w:tc>
      </w:tr>
    </w:tbl>
    <w:p w14:paraId="35D31E45" w14:textId="77777777" w:rsidR="005B6C67" w:rsidRDefault="005B6C67" w:rsidP="001016D7">
      <w:pPr>
        <w:jc w:val="center"/>
      </w:pPr>
    </w:p>
    <w:tbl>
      <w:tblPr>
        <w:tblStyle w:val="Mkatabulky"/>
        <w:tblW w:w="901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7"/>
        <w:gridCol w:w="2835"/>
        <w:gridCol w:w="3230"/>
      </w:tblGrid>
      <w:tr w:rsidR="005B6C67" w14:paraId="0AAF0DD6" w14:textId="77777777" w:rsidTr="0070606A">
        <w:trPr>
          <w:trHeight w:val="329"/>
        </w:trPr>
        <w:tc>
          <w:tcPr>
            <w:tcW w:w="90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4910664" w14:textId="6164CBDB" w:rsidR="005B6C67" w:rsidRPr="001016D7" w:rsidRDefault="007E05D0" w:rsidP="001F04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Podpora</w:t>
            </w:r>
          </w:p>
        </w:tc>
      </w:tr>
      <w:tr w:rsidR="0070606A" w14:paraId="63BF52BF" w14:textId="77777777" w:rsidTr="00C7611E">
        <w:trPr>
          <w:trHeight w:val="279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2F371B7" w14:textId="2EF33128" w:rsidR="0070606A" w:rsidRPr="0067435D" w:rsidRDefault="0070606A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Alokace výzvy MAS (CZV)</w:t>
            </w:r>
          </w:p>
        </w:tc>
        <w:tc>
          <w:tcPr>
            <w:tcW w:w="606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73E2ED87" w14:textId="250FC8A5" w:rsidR="0070606A" w:rsidRPr="00084044" w:rsidRDefault="00084044" w:rsidP="007B4AB6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084044">
              <w:rPr>
                <w:b/>
                <w:bCs/>
                <w:sz w:val="20"/>
                <w:szCs w:val="20"/>
              </w:rPr>
              <w:t>1.</w:t>
            </w:r>
            <w:r w:rsidR="008E7D01">
              <w:rPr>
                <w:b/>
                <w:bCs/>
                <w:sz w:val="20"/>
                <w:szCs w:val="20"/>
              </w:rPr>
              <w:t>07</w:t>
            </w:r>
            <w:r w:rsidRPr="00084044">
              <w:rPr>
                <w:b/>
                <w:bCs/>
                <w:sz w:val="20"/>
                <w:szCs w:val="20"/>
              </w:rPr>
              <w:t>0.000,-</w:t>
            </w:r>
            <w:proofErr w:type="gramEnd"/>
          </w:p>
        </w:tc>
      </w:tr>
      <w:tr w:rsidR="0070606A" w14:paraId="52F83EAA" w14:textId="77777777" w:rsidTr="00C7611E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EA085A0" w14:textId="64644A3E" w:rsidR="0070606A" w:rsidRPr="0067435D" w:rsidRDefault="009E0D2C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Míra podpory z Evropského fondu pro regionální rozvoj a státního rozpočtu pro projekt</w:t>
            </w:r>
          </w:p>
        </w:tc>
        <w:tc>
          <w:tcPr>
            <w:tcW w:w="606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9219BEB" w14:textId="4693D6AD" w:rsidR="0070606A" w:rsidRDefault="00084044" w:rsidP="000840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Evropský fond pro regionální rozvoj – </w:t>
            </w:r>
            <w:r w:rsidR="009D40E4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</w:t>
            </w:r>
          </w:p>
          <w:p w14:paraId="60C3CF65" w14:textId="4FE5D7C4" w:rsidR="00084044" w:rsidRPr="005B6C67" w:rsidRDefault="004E1E30" w:rsidP="000840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 podíl žadatele</w:t>
            </w:r>
            <w:r w:rsidR="00084044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5</w:t>
            </w:r>
            <w:r w:rsidR="00084044">
              <w:rPr>
                <w:sz w:val="20"/>
                <w:szCs w:val="20"/>
              </w:rPr>
              <w:t>0%</w:t>
            </w:r>
            <w:proofErr w:type="gramEnd"/>
          </w:p>
        </w:tc>
      </w:tr>
      <w:tr w:rsidR="007B4AB6" w14:paraId="0177B238" w14:textId="77777777" w:rsidTr="00C7611E">
        <w:trPr>
          <w:trHeight w:val="296"/>
        </w:trPr>
        <w:tc>
          <w:tcPr>
            <w:tcW w:w="29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7A6D9F5" w14:textId="0C1BED45" w:rsidR="007B4AB6" w:rsidRPr="0067435D" w:rsidRDefault="007B4AB6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Minimální a maximální výše celkových způsobilých výdajů projektu</w:t>
            </w: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670473ED" w14:textId="5E9FC291" w:rsidR="007B4AB6" w:rsidRPr="00893E1D" w:rsidRDefault="00893E1D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Minimální výše CZV na projekt</w:t>
            </w:r>
          </w:p>
        </w:tc>
        <w:tc>
          <w:tcPr>
            <w:tcW w:w="32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57D0D491" w14:textId="44BCD736" w:rsidR="007B4AB6" w:rsidRPr="005B6C67" w:rsidRDefault="00CA0C22" w:rsidP="00893E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125 000</w:t>
            </w:r>
            <w:r w:rsidR="00893E1D">
              <w:rPr>
                <w:sz w:val="20"/>
                <w:szCs w:val="20"/>
              </w:rPr>
              <w:t>,-</w:t>
            </w:r>
          </w:p>
        </w:tc>
      </w:tr>
      <w:tr w:rsidR="007B4AB6" w14:paraId="1CB5D732" w14:textId="77777777" w:rsidTr="00893E1D">
        <w:trPr>
          <w:trHeight w:val="296"/>
        </w:trPr>
        <w:tc>
          <w:tcPr>
            <w:tcW w:w="29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756BEEA" w14:textId="77777777" w:rsidR="007B4AB6" w:rsidRPr="0067435D" w:rsidRDefault="007B4AB6" w:rsidP="001F0432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45E6DEF0" w14:textId="7EFBDE60" w:rsidR="007B4AB6" w:rsidRPr="00893E1D" w:rsidRDefault="00893E1D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Maximální výše CZV na projekt</w:t>
            </w:r>
          </w:p>
        </w:tc>
        <w:tc>
          <w:tcPr>
            <w:tcW w:w="323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6728A103" w14:textId="4B4EE368" w:rsidR="007B4AB6" w:rsidRPr="005B6C67" w:rsidRDefault="00CA0C22" w:rsidP="00893E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1 070 000</w:t>
            </w:r>
            <w:r w:rsidR="00E603AC">
              <w:rPr>
                <w:sz w:val="20"/>
                <w:szCs w:val="20"/>
              </w:rPr>
              <w:t>,-</w:t>
            </w:r>
          </w:p>
        </w:tc>
      </w:tr>
      <w:tr w:rsidR="007B4AB6" w14:paraId="4A699123" w14:textId="77777777" w:rsidTr="00C7611E">
        <w:trPr>
          <w:trHeight w:val="296"/>
        </w:trPr>
        <w:tc>
          <w:tcPr>
            <w:tcW w:w="29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3220063" w14:textId="77777777" w:rsidR="007B4AB6" w:rsidRPr="0067435D" w:rsidRDefault="007B4AB6" w:rsidP="001F0432">
            <w:pPr>
              <w:rPr>
                <w:b/>
                <w:bCs/>
              </w:rPr>
            </w:pPr>
          </w:p>
        </w:tc>
        <w:tc>
          <w:tcPr>
            <w:tcW w:w="606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3E60564" w14:textId="138F5027" w:rsidR="007B4AB6" w:rsidRPr="005B6C67" w:rsidRDefault="00E84245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případě využití maximální výše </w:t>
            </w:r>
            <w:r w:rsidR="00CA0C22">
              <w:rPr>
                <w:sz w:val="20"/>
                <w:szCs w:val="20"/>
              </w:rPr>
              <w:t>způsobilých</w:t>
            </w:r>
            <w:r>
              <w:rPr>
                <w:sz w:val="20"/>
                <w:szCs w:val="20"/>
              </w:rPr>
              <w:t xml:space="preserve"> nák</w:t>
            </w:r>
            <w:r w:rsidR="004E1E30">
              <w:rPr>
                <w:sz w:val="20"/>
                <w:szCs w:val="20"/>
              </w:rPr>
              <w:t>ladů</w:t>
            </w:r>
            <w:r w:rsidR="006F67BF">
              <w:rPr>
                <w:sz w:val="20"/>
                <w:szCs w:val="20"/>
              </w:rPr>
              <w:t xml:space="preserve"> </w:t>
            </w:r>
            <w:r w:rsidR="00053AD3">
              <w:rPr>
                <w:sz w:val="20"/>
                <w:szCs w:val="20"/>
              </w:rPr>
              <w:t>2.</w:t>
            </w:r>
            <w:r w:rsidR="00CA0C22">
              <w:rPr>
                <w:sz w:val="20"/>
                <w:szCs w:val="20"/>
              </w:rPr>
              <w:t>14</w:t>
            </w:r>
            <w:r w:rsidR="00053AD3">
              <w:rPr>
                <w:sz w:val="20"/>
                <w:szCs w:val="20"/>
              </w:rPr>
              <w:t xml:space="preserve">0.000,-, budou tvořit nepřímé náklady </w:t>
            </w:r>
            <w:proofErr w:type="gramStart"/>
            <w:r w:rsidR="00053AD3">
              <w:rPr>
                <w:sz w:val="20"/>
                <w:szCs w:val="20"/>
              </w:rPr>
              <w:t>140.000,-</w:t>
            </w:r>
            <w:proofErr w:type="gramEnd"/>
          </w:p>
        </w:tc>
      </w:tr>
      <w:tr w:rsidR="0070606A" w14:paraId="57A3FBD3" w14:textId="77777777" w:rsidTr="00C7611E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20DD342" w14:textId="3D536CD6" w:rsidR="0070606A" w:rsidRPr="0067435D" w:rsidRDefault="007B4AB6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Podmínky veřejné podpory</w:t>
            </w:r>
          </w:p>
        </w:tc>
        <w:tc>
          <w:tcPr>
            <w:tcW w:w="6065" w:type="dxa"/>
            <w:gridSpan w:val="2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E6AF0C8" w14:textId="1F952039" w:rsidR="0070606A" w:rsidRPr="005B6C67" w:rsidRDefault="00636C08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Nařízení Komise (EU) č. 1407/2013 o de minimis</w:t>
            </w:r>
          </w:p>
        </w:tc>
      </w:tr>
      <w:tr w:rsidR="0070606A" w14:paraId="32A2A8E7" w14:textId="77777777" w:rsidTr="00C7611E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8B599E5" w14:textId="219779C1" w:rsidR="0070606A" w:rsidRPr="0067435D" w:rsidRDefault="007B4AB6" w:rsidP="001F0432">
            <w:pPr>
              <w:rPr>
                <w:b/>
                <w:bCs/>
              </w:rPr>
            </w:pPr>
            <w:r>
              <w:rPr>
                <w:b/>
                <w:bCs/>
              </w:rPr>
              <w:t>Způsob financování</w:t>
            </w:r>
          </w:p>
        </w:tc>
        <w:tc>
          <w:tcPr>
            <w:tcW w:w="6065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7CC45E8" w14:textId="7FEEB02A" w:rsidR="0070606A" w:rsidRPr="005B6C67" w:rsidRDefault="00636C08" w:rsidP="001F0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Ex-post</w:t>
            </w:r>
          </w:p>
        </w:tc>
      </w:tr>
    </w:tbl>
    <w:p w14:paraId="2607E3AA" w14:textId="77777777" w:rsidR="005B6C67" w:rsidRDefault="005B6C67" w:rsidP="001016D7">
      <w:pPr>
        <w:jc w:val="center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D638AF" w14:paraId="6A033CFB" w14:textId="77777777" w:rsidTr="000D13A6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701C585" w14:textId="50A08658" w:rsidR="00D638AF" w:rsidRPr="001016D7" w:rsidRDefault="00D638AF" w:rsidP="000D1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Zacílení podpory</w:t>
            </w:r>
          </w:p>
        </w:tc>
      </w:tr>
      <w:tr w:rsidR="00D638AF" w14:paraId="09C76D25" w14:textId="77777777" w:rsidTr="00C7611E">
        <w:trPr>
          <w:trHeight w:val="1037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94755D5" w14:textId="3C314504" w:rsidR="00D638AF" w:rsidRPr="0067435D" w:rsidRDefault="00D638AF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Územní realizace</w:t>
            </w: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0B48E64" w14:textId="19886127" w:rsidR="00D638AF" w:rsidRPr="005B6C67" w:rsidRDefault="00D638AF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Realizace projektu bude probíhat na území MAS vymezené ve schválené strategii CLLD (území </w:t>
            </w:r>
            <w:proofErr w:type="gramStart"/>
            <w:r>
              <w:rPr>
                <w:sz w:val="20"/>
                <w:szCs w:val="20"/>
              </w:rPr>
              <w:t>Oslavka,o.p.s.</w:t>
            </w:r>
            <w:proofErr w:type="gramEnd"/>
            <w:r>
              <w:rPr>
                <w:sz w:val="20"/>
                <w:szCs w:val="20"/>
              </w:rPr>
              <w:t>). Rozhodující</w:t>
            </w:r>
            <w:r w:rsidR="00244313">
              <w:rPr>
                <w:sz w:val="20"/>
                <w:szCs w:val="20"/>
              </w:rPr>
              <w:t xml:space="preserve"> pro </w:t>
            </w:r>
            <w:r w:rsidR="001E7A8A">
              <w:rPr>
                <w:sz w:val="20"/>
                <w:szCs w:val="20"/>
              </w:rPr>
              <w:t xml:space="preserve">posouzení místní přijatelnosti není sídlo žadatele, nýbrž skutečné místo realizace projektu, tj. území, na kterém probíhá fyzická realizace a jsou uskutečňovány výdaje projektu. Výdaje spojené s realizací projektu za hranicí území MAS jsou vždy nezpůsobilé. </w:t>
            </w:r>
          </w:p>
        </w:tc>
      </w:tr>
      <w:tr w:rsidR="001E7A8A" w14:paraId="286E13A6" w14:textId="77777777" w:rsidTr="00C7611E">
        <w:tc>
          <w:tcPr>
            <w:tcW w:w="3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99CA5E9" w14:textId="77777777" w:rsidR="001E7A8A" w:rsidRDefault="001E7A8A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Oprávnění žadatelé/ </w:t>
            </w:r>
          </w:p>
          <w:p w14:paraId="25DD5EB4" w14:textId="3809E954" w:rsidR="001E7A8A" w:rsidRPr="0067435D" w:rsidRDefault="001E7A8A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Cílová skupina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3886DA36" w14:textId="1BDB1493" w:rsidR="001E7A8A" w:rsidRPr="005B6C67" w:rsidRDefault="001E7A8A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Mikropodniky, malé a střední podniky s historií min. 2 roky</w:t>
            </w:r>
          </w:p>
        </w:tc>
      </w:tr>
      <w:tr w:rsidR="001E7A8A" w14:paraId="29903A1A" w14:textId="77777777" w:rsidTr="001E7A8A">
        <w:trPr>
          <w:trHeight w:val="254"/>
        </w:trPr>
        <w:tc>
          <w:tcPr>
            <w:tcW w:w="3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1F48C77" w14:textId="67E1D9C6" w:rsidR="001E7A8A" w:rsidRPr="0067435D" w:rsidRDefault="001E7A8A" w:rsidP="000D13A6">
            <w:pPr>
              <w:rPr>
                <w:b/>
                <w:bCs/>
              </w:rPr>
            </w:pP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BD7DCF" w14:textId="353637DE" w:rsidR="001E7A8A" w:rsidRPr="005B6C67" w:rsidRDefault="001E7A8A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pojmem mikro, malý a střední podnik s historií min. 2 roky se rozumí veškeré FO i PO, které mají přidělené IČ a jsou oprávněny k podnikání (OSVČ, s.r.o., a.s. …) a současně splňují kategorii MSP (do 250 zaměstnanců</w:t>
            </w:r>
            <w:r w:rsidR="0074643F">
              <w:rPr>
                <w:sz w:val="20"/>
                <w:szCs w:val="20"/>
              </w:rPr>
              <w:t xml:space="preserve"> a ročního obratu/bilanční sumy do 43 mil EUR) a jsou o dobu 2 zdaňovacích období předcházejících datu podání Žádosti o podporu do nadřazené výzvy ŘO nepřetržitě registrování jako poplatník daně z příjmu v ČR. </w:t>
            </w:r>
          </w:p>
        </w:tc>
      </w:tr>
    </w:tbl>
    <w:p w14:paraId="7EE08957" w14:textId="77777777" w:rsidR="00D638AF" w:rsidRDefault="00D638AF" w:rsidP="001016D7">
      <w:pPr>
        <w:jc w:val="center"/>
      </w:pPr>
    </w:p>
    <w:p w14:paraId="403D63E8" w14:textId="77777777" w:rsidR="002E6FF7" w:rsidRDefault="002E6FF7" w:rsidP="001016D7">
      <w:pPr>
        <w:jc w:val="center"/>
        <w:sectPr w:rsidR="002E6FF7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7"/>
        <w:gridCol w:w="1358"/>
        <w:gridCol w:w="4647"/>
      </w:tblGrid>
      <w:tr w:rsidR="002E6FF7" w14:paraId="1B9F6983" w14:textId="77777777" w:rsidTr="00414901">
        <w:tc>
          <w:tcPr>
            <w:tcW w:w="901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F730BFB" w14:textId="715CCA0A" w:rsidR="002E6FF7" w:rsidRPr="002E6FF7" w:rsidRDefault="002E6FF7" w:rsidP="001016D7">
            <w:pPr>
              <w:jc w:val="center"/>
              <w:rPr>
                <w:b/>
                <w:bCs/>
                <w:sz w:val="24"/>
                <w:szCs w:val="24"/>
              </w:rPr>
            </w:pPr>
            <w:r w:rsidRPr="002E6FF7">
              <w:rPr>
                <w:b/>
                <w:bCs/>
                <w:sz w:val="24"/>
                <w:szCs w:val="24"/>
              </w:rPr>
              <w:lastRenderedPageBreak/>
              <w:t>Věcné zaměření</w:t>
            </w:r>
          </w:p>
        </w:tc>
      </w:tr>
      <w:tr w:rsidR="00145E46" w14:paraId="3CEF7B36" w14:textId="77777777" w:rsidTr="00005309">
        <w:tc>
          <w:tcPr>
            <w:tcW w:w="300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AD525A0" w14:textId="7FE9D251" w:rsidR="00145E46" w:rsidRPr="00145E46" w:rsidRDefault="00145E46" w:rsidP="00145E46">
            <w:pPr>
              <w:rPr>
                <w:b/>
                <w:bCs/>
              </w:rPr>
            </w:pPr>
            <w:r w:rsidRPr="00145E46">
              <w:rPr>
                <w:b/>
                <w:bCs/>
              </w:rPr>
              <w:t>Podporované aktivity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</w:tcBorders>
          </w:tcPr>
          <w:p w14:paraId="6E113E85" w14:textId="6C7666F9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1</w:t>
            </w:r>
          </w:p>
        </w:tc>
        <w:tc>
          <w:tcPr>
            <w:tcW w:w="4647" w:type="dxa"/>
            <w:tcBorders>
              <w:top w:val="single" w:sz="24" w:space="0" w:color="auto"/>
              <w:right w:val="single" w:sz="24" w:space="0" w:color="auto"/>
            </w:tcBorders>
          </w:tcPr>
          <w:p w14:paraId="26985487" w14:textId="7C2FAF8D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Robotizace, automatizace a digitalizace</w:t>
            </w:r>
          </w:p>
        </w:tc>
      </w:tr>
      <w:tr w:rsidR="00145E46" w14:paraId="56D3950C" w14:textId="77777777" w:rsidTr="00005309">
        <w:tc>
          <w:tcPr>
            <w:tcW w:w="300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D9F8B73" w14:textId="77777777" w:rsidR="00145E46" w:rsidRPr="00145E46" w:rsidRDefault="00145E46" w:rsidP="001016D7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tcBorders>
              <w:left w:val="single" w:sz="24" w:space="0" w:color="auto"/>
            </w:tcBorders>
          </w:tcPr>
          <w:p w14:paraId="7CB591D7" w14:textId="1559596B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2</w:t>
            </w:r>
          </w:p>
        </w:tc>
        <w:tc>
          <w:tcPr>
            <w:tcW w:w="4647" w:type="dxa"/>
            <w:tcBorders>
              <w:right w:val="single" w:sz="24" w:space="0" w:color="auto"/>
            </w:tcBorders>
          </w:tcPr>
          <w:p w14:paraId="5CA8E7DB" w14:textId="6A93D9A2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Web, e-shop a cloudové služby</w:t>
            </w:r>
          </w:p>
        </w:tc>
      </w:tr>
      <w:tr w:rsidR="00145E46" w14:paraId="3D05FD54" w14:textId="77777777" w:rsidTr="00005309">
        <w:tc>
          <w:tcPr>
            <w:tcW w:w="300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E09DB0F" w14:textId="77777777" w:rsidR="00145E46" w:rsidRPr="00145E46" w:rsidRDefault="00145E46" w:rsidP="001016D7">
            <w:pPr>
              <w:jc w:val="center"/>
              <w:rPr>
                <w:b/>
                <w:bCs/>
              </w:rPr>
            </w:pPr>
          </w:p>
        </w:tc>
        <w:tc>
          <w:tcPr>
            <w:tcW w:w="1358" w:type="dxa"/>
            <w:tcBorders>
              <w:left w:val="single" w:sz="24" w:space="0" w:color="auto"/>
            </w:tcBorders>
          </w:tcPr>
          <w:p w14:paraId="2B257EEE" w14:textId="1FC81432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3</w:t>
            </w:r>
          </w:p>
        </w:tc>
        <w:tc>
          <w:tcPr>
            <w:tcW w:w="4647" w:type="dxa"/>
            <w:tcBorders>
              <w:right w:val="single" w:sz="24" w:space="0" w:color="auto"/>
            </w:tcBorders>
          </w:tcPr>
          <w:p w14:paraId="588337F1" w14:textId="411EA12E" w:rsidR="00145E46" w:rsidRPr="004C565C" w:rsidRDefault="00414901" w:rsidP="001016D7">
            <w:pPr>
              <w:jc w:val="center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Komunikační a identifikační infrastruktura</w:t>
            </w:r>
          </w:p>
        </w:tc>
      </w:tr>
      <w:tr w:rsidR="000D0AAC" w14:paraId="7CF04235" w14:textId="77777777" w:rsidTr="00005309">
        <w:tc>
          <w:tcPr>
            <w:tcW w:w="300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9D4651F" w14:textId="77777777" w:rsidR="000D0AAC" w:rsidRPr="008407C7" w:rsidRDefault="000D0AAC" w:rsidP="00101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B7083E" w14:textId="0826D610" w:rsidR="000D0AAC" w:rsidRPr="00FF652F" w:rsidRDefault="000D0AAC" w:rsidP="00771D4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0AAC">
              <w:rPr>
                <w:sz w:val="20"/>
                <w:szCs w:val="20"/>
              </w:rPr>
              <w:t xml:space="preserve">ad 1) </w:t>
            </w:r>
            <w:r w:rsidRPr="008407C7">
              <w:rPr>
                <w:b/>
                <w:bCs/>
                <w:sz w:val="20"/>
                <w:szCs w:val="20"/>
              </w:rPr>
              <w:t>Robotizace, automatizace, digitalizace</w:t>
            </w:r>
            <w:r w:rsidRPr="000D0AAC">
              <w:rPr>
                <w:sz w:val="20"/>
                <w:szCs w:val="20"/>
              </w:rPr>
              <w:t xml:space="preserve"> </w:t>
            </w:r>
            <w:r w:rsidRPr="00FF652F">
              <w:rPr>
                <w:sz w:val="18"/>
                <w:szCs w:val="18"/>
              </w:rPr>
              <w:t>ve smyslu implementace výrobních a nevýrobních technologií v podniku, prostřednictvím jejichž nákupu dojde k integraci robotizované manipulace (manipulátory, robotické ruky, automatické sklady, dopravníky, automatické zásobníky nástrojů atd.), automatizace vnitřních výrobních či nevýrobních procesů podniku za využití počítačových systémů (komunikační API, systémová automatizace</w:t>
            </w:r>
            <w:r w:rsidR="00FF652F">
              <w:rPr>
                <w:sz w:val="18"/>
                <w:szCs w:val="18"/>
              </w:rPr>
              <w:t xml:space="preserve"> </w:t>
            </w:r>
            <w:r w:rsidRPr="00FF652F">
              <w:rPr>
                <w:sz w:val="18"/>
                <w:szCs w:val="18"/>
              </w:rPr>
              <w:t>atd.) a digitalizace vnitropodnikových procesů či vývoje produktu (CAD/CAM, systémy skladového hospodářství – WMS, EDI, ERP, MES, MIS, APS, nadstandartní moduly již implementovaných podnikových IS atd.), které vytvoří funkční propojený celek umožňující efektivnější řízení výroby a dalších vnitropodnikových procesů spolu s celkovým chodem</w:t>
            </w:r>
            <w:r w:rsidR="00771D49" w:rsidRPr="00FF652F">
              <w:rPr>
                <w:sz w:val="18"/>
                <w:szCs w:val="18"/>
              </w:rPr>
              <w:t xml:space="preserve"> </w:t>
            </w:r>
            <w:r w:rsidRPr="00FF652F">
              <w:rPr>
                <w:sz w:val="18"/>
                <w:szCs w:val="18"/>
              </w:rPr>
              <w:t>podniku</w:t>
            </w:r>
            <w:r w:rsidRPr="000D0AAC">
              <w:rPr>
                <w:sz w:val="20"/>
                <w:szCs w:val="20"/>
              </w:rPr>
              <w:t>.</w:t>
            </w:r>
          </w:p>
          <w:p w14:paraId="705AC148" w14:textId="77777777" w:rsidR="00FF652F" w:rsidRDefault="00FF652F" w:rsidP="00771D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9F20C1" w14:textId="3DD30856" w:rsidR="00771D49" w:rsidRPr="00FF652F" w:rsidRDefault="00DC4BE7" w:rsidP="00DC4B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C4BE7">
              <w:rPr>
                <w:sz w:val="20"/>
                <w:szCs w:val="20"/>
              </w:rPr>
              <w:t>ad 2</w:t>
            </w:r>
            <w:r w:rsidRPr="008407C7">
              <w:rPr>
                <w:sz w:val="20"/>
                <w:szCs w:val="20"/>
              </w:rPr>
              <w:t xml:space="preserve">) </w:t>
            </w:r>
            <w:proofErr w:type="gramStart"/>
            <w:r w:rsidRPr="008407C7">
              <w:rPr>
                <w:b/>
                <w:bCs/>
                <w:sz w:val="20"/>
                <w:szCs w:val="20"/>
              </w:rPr>
              <w:t>Web</w:t>
            </w:r>
            <w:proofErr w:type="gramEnd"/>
            <w:r w:rsidRPr="008407C7">
              <w:rPr>
                <w:b/>
                <w:bCs/>
                <w:sz w:val="20"/>
                <w:szCs w:val="20"/>
              </w:rPr>
              <w:t>, e-shop a cloudové služby</w:t>
            </w:r>
            <w:r w:rsidRPr="00DC4BE7">
              <w:rPr>
                <w:sz w:val="20"/>
                <w:szCs w:val="20"/>
              </w:rPr>
              <w:t xml:space="preserve"> </w:t>
            </w:r>
            <w:r w:rsidRPr="00FF652F">
              <w:rPr>
                <w:sz w:val="18"/>
                <w:szCs w:val="18"/>
              </w:rPr>
              <w:t>ve smyslu pořízení moderních webových stránek s internetovým obchodem, který bude integrovaný se skladovým hospodářstvím (případně s</w:t>
            </w:r>
            <w:r w:rsidR="00FF652F">
              <w:rPr>
                <w:sz w:val="18"/>
                <w:szCs w:val="18"/>
              </w:rPr>
              <w:t xml:space="preserve"> </w:t>
            </w:r>
            <w:r w:rsidRPr="00FF652F">
              <w:rPr>
                <w:sz w:val="18"/>
                <w:szCs w:val="18"/>
              </w:rPr>
              <w:t>jinými systémy poskytujícími data o výrobě, termínu dodání atd.), nebo pronájmu služeb či programů, které umožňují přístup k výpočetním zdrojům (např. vizualizační platformy, výpočetní kapacita pro komplikované operace a další, nejedná se však o cloud ve smyslu úložiště) prostřednictvím internetu.</w:t>
            </w:r>
          </w:p>
          <w:p w14:paraId="312BE996" w14:textId="77777777" w:rsidR="00FF652F" w:rsidRDefault="00FF652F" w:rsidP="00DC4B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813E61D" w14:textId="404B0B00" w:rsidR="00DC4BE7" w:rsidRPr="00FF652F" w:rsidRDefault="00932F30" w:rsidP="00932F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2F30">
              <w:rPr>
                <w:sz w:val="20"/>
                <w:szCs w:val="20"/>
              </w:rPr>
              <w:t xml:space="preserve">ad 3) </w:t>
            </w:r>
            <w:r w:rsidRPr="008407C7">
              <w:rPr>
                <w:b/>
                <w:bCs/>
                <w:sz w:val="20"/>
                <w:szCs w:val="20"/>
              </w:rPr>
              <w:t>Komunikační a identifikační infrastruktura a výpočetní technika</w:t>
            </w:r>
            <w:r w:rsidRPr="008407C7">
              <w:rPr>
                <w:sz w:val="20"/>
                <w:szCs w:val="20"/>
              </w:rPr>
              <w:t xml:space="preserve"> </w:t>
            </w:r>
            <w:r w:rsidRPr="00FF652F">
              <w:rPr>
                <w:sz w:val="18"/>
                <w:szCs w:val="18"/>
              </w:rPr>
              <w:t>ve smyslu zajištění vnitropodnikové konektivity (aktivní a pasivní prvky sítě, komunikační převodníky, instalační materiál atd.) a související zajištění kybernetické bezpečnosti (náklady na opatření zabezpečení IT), případně implementace technologií sloužících pro identifikaci prvků systému (stroje, nástroje, výrobky, materiál či pracovníci) prostřednictvím pořízení potřebných zařízení</w:t>
            </w:r>
            <w:r w:rsidR="00FF652F">
              <w:rPr>
                <w:sz w:val="18"/>
                <w:szCs w:val="18"/>
              </w:rPr>
              <w:t xml:space="preserve"> </w:t>
            </w:r>
            <w:r w:rsidRPr="00FF652F">
              <w:rPr>
                <w:sz w:val="18"/>
                <w:szCs w:val="18"/>
              </w:rPr>
              <w:t>(např. čárové či QR kódy, čtečky, RFID, CCID, přenosné terminály/tablety atd.), nebo zajištění IT vybavení potřebného pro bezvadný provoz a implementaci nových systémů.</w:t>
            </w:r>
          </w:p>
          <w:p w14:paraId="7D44EF8B" w14:textId="77777777" w:rsidR="00103077" w:rsidRPr="00FF652F" w:rsidRDefault="00103077" w:rsidP="00932F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CCC4364" w14:textId="5389D641" w:rsidR="00103077" w:rsidRPr="00FF652F" w:rsidRDefault="00103077" w:rsidP="00103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Výběrem jedné nebo více z předcházejících aktivit musí dojít k naplnění podmínek výrazného posunu v dané oblasti, a to zejména tím, že bude pro žadatele znamenat nové či rozšířené řešení. Pouhá realizace některé z výše uvedených aktivit sama o sobě výrazný posun nevytvoří.</w:t>
            </w:r>
          </w:p>
          <w:p w14:paraId="53A03608" w14:textId="77777777" w:rsidR="00103077" w:rsidRPr="00FF652F" w:rsidRDefault="00103077" w:rsidP="00103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3BA518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Blíže viz Příloha č. 4 Pravidla pro žadatele a příjemce – zvláštní část</w:t>
            </w:r>
          </w:p>
          <w:p w14:paraId="42211720" w14:textId="373947E9" w:rsidR="0010307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Technologie pro MAS (CLLD) – výzva I.</w:t>
            </w:r>
          </w:p>
          <w:p w14:paraId="64F2CE08" w14:textId="77777777" w:rsidR="008407C7" w:rsidRDefault="008407C7" w:rsidP="008407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AEAACB" w14:textId="77777777" w:rsidR="008407C7" w:rsidRPr="002D2939" w:rsidRDefault="008407C7" w:rsidP="008407C7">
            <w:pPr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2D2939">
              <w:rPr>
                <w:sz w:val="20"/>
                <w:szCs w:val="20"/>
                <w:u w:val="single"/>
              </w:rPr>
              <w:t>Nepodporované oblasti podnikání:</w:t>
            </w:r>
          </w:p>
          <w:p w14:paraId="79DB09AE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07C7">
              <w:rPr>
                <w:sz w:val="20"/>
                <w:szCs w:val="20"/>
              </w:rPr>
              <w:t xml:space="preserve">- </w:t>
            </w:r>
            <w:r w:rsidRPr="00FF652F">
              <w:rPr>
                <w:sz w:val="18"/>
                <w:szCs w:val="18"/>
              </w:rPr>
              <w:t>Výroba, zpracování a uvádění tabáku a tabákových výrobků na trh</w:t>
            </w:r>
          </w:p>
          <w:p w14:paraId="630F538B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- Zemědělství, lesnictví a rybářství (CZ-NACE A)</w:t>
            </w:r>
          </w:p>
          <w:p w14:paraId="5E04D4BC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- Telekomunikační činnosti (CZ-NACE J.61.0)</w:t>
            </w:r>
          </w:p>
          <w:p w14:paraId="7A6216F2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- Peněžnictví a pojišťovnictví CZ-NACE K)</w:t>
            </w:r>
          </w:p>
          <w:p w14:paraId="20173C46" w14:textId="77777777" w:rsidR="008407C7" w:rsidRPr="00FF652F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- Administrativní, kancelářské a jiné podpůrné činnosti (CZ-NACE N.82.0)</w:t>
            </w:r>
          </w:p>
          <w:p w14:paraId="3FD8FC1D" w14:textId="367014BC" w:rsidR="008407C7" w:rsidRDefault="008407C7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F652F">
              <w:rPr>
                <w:sz w:val="18"/>
                <w:szCs w:val="18"/>
              </w:rPr>
              <w:t>- Činnosti heren, kasin a sázkových kanceláří (CZ-NACE R.92.0)</w:t>
            </w:r>
          </w:p>
          <w:p w14:paraId="348BC4DC" w14:textId="77777777" w:rsidR="004C565C" w:rsidRDefault="004C565C" w:rsidP="00840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9BBDC99" w14:textId="77777777" w:rsidR="004C565C" w:rsidRPr="004C565C" w:rsidRDefault="004C565C" w:rsidP="004C56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Blíže viz Příloha č. 6 Nepodporované kategorie CZ NACE Technologie pro</w:t>
            </w:r>
          </w:p>
          <w:p w14:paraId="069AD529" w14:textId="349AE94A" w:rsidR="00932F30" w:rsidRPr="002D2939" w:rsidRDefault="004C565C" w:rsidP="002D29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565C">
              <w:rPr>
                <w:sz w:val="18"/>
                <w:szCs w:val="18"/>
              </w:rPr>
              <w:t>MAS (CLLD) – výzva I.</w:t>
            </w:r>
          </w:p>
        </w:tc>
      </w:tr>
      <w:tr w:rsidR="00005309" w14:paraId="190BA3CD" w14:textId="77777777" w:rsidTr="00CC4894">
        <w:trPr>
          <w:trHeight w:val="548"/>
        </w:trPr>
        <w:tc>
          <w:tcPr>
            <w:tcW w:w="300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828F3ED" w14:textId="7A6E0180" w:rsidR="00005309" w:rsidRPr="00145E46" w:rsidRDefault="00005309" w:rsidP="00145E46">
            <w:pPr>
              <w:rPr>
                <w:b/>
                <w:bCs/>
              </w:rPr>
            </w:pPr>
            <w:r w:rsidRPr="00145E46">
              <w:rPr>
                <w:b/>
                <w:bCs/>
              </w:rPr>
              <w:t>Indikátory</w:t>
            </w:r>
          </w:p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6228A90" w14:textId="7C1121C1" w:rsidR="00005309" w:rsidRPr="00005309" w:rsidRDefault="00005309" w:rsidP="001016D7">
            <w:pPr>
              <w:jc w:val="center"/>
              <w:rPr>
                <w:b/>
                <w:bCs/>
                <w:sz w:val="18"/>
                <w:szCs w:val="18"/>
              </w:rPr>
            </w:pPr>
            <w:r w:rsidRPr="00005309">
              <w:rPr>
                <w:b/>
                <w:bCs/>
                <w:sz w:val="18"/>
                <w:szCs w:val="18"/>
              </w:rPr>
              <w:t>Povinné k výběru</w:t>
            </w:r>
          </w:p>
        </w:tc>
        <w:tc>
          <w:tcPr>
            <w:tcW w:w="464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37BBC7F" w14:textId="77777777" w:rsidR="00005309" w:rsidRPr="00CC4894" w:rsidRDefault="00005309" w:rsidP="00005309">
            <w:pPr>
              <w:rPr>
                <w:sz w:val="18"/>
                <w:szCs w:val="18"/>
              </w:rPr>
            </w:pPr>
            <w:r w:rsidRPr="00CC4894">
              <w:rPr>
                <w:sz w:val="18"/>
                <w:szCs w:val="18"/>
              </w:rPr>
              <w:t>107002 Přidaná hodnota</w:t>
            </w:r>
          </w:p>
          <w:p w14:paraId="54A61CAC" w14:textId="77777777" w:rsidR="00005309" w:rsidRPr="00CC4894" w:rsidRDefault="00005309" w:rsidP="00005309">
            <w:pPr>
              <w:rPr>
                <w:sz w:val="18"/>
                <w:szCs w:val="18"/>
              </w:rPr>
            </w:pPr>
            <w:r w:rsidRPr="00CC4894">
              <w:rPr>
                <w:sz w:val="18"/>
                <w:szCs w:val="18"/>
              </w:rPr>
              <w:t>107031 Podniky s vyšším obratem</w:t>
            </w:r>
          </w:p>
          <w:p w14:paraId="7CB52773" w14:textId="77777777" w:rsidR="00005309" w:rsidRPr="00CC4894" w:rsidRDefault="00005309" w:rsidP="00005309">
            <w:pPr>
              <w:rPr>
                <w:sz w:val="18"/>
                <w:szCs w:val="18"/>
              </w:rPr>
            </w:pPr>
            <w:r w:rsidRPr="00CC4894">
              <w:rPr>
                <w:sz w:val="18"/>
                <w:szCs w:val="18"/>
              </w:rPr>
              <w:t>107501 Obrat</w:t>
            </w:r>
          </w:p>
          <w:p w14:paraId="362A8A62" w14:textId="3A49EB8B" w:rsidR="00005309" w:rsidRPr="00CC4894" w:rsidRDefault="00005309" w:rsidP="00005309">
            <w:pPr>
              <w:rPr>
                <w:sz w:val="18"/>
                <w:szCs w:val="18"/>
              </w:rPr>
            </w:pPr>
            <w:r w:rsidRPr="00CC4894">
              <w:rPr>
                <w:sz w:val="18"/>
                <w:szCs w:val="18"/>
              </w:rPr>
              <w:t>101022 Podniky podpořené granty</w:t>
            </w:r>
          </w:p>
        </w:tc>
      </w:tr>
      <w:tr w:rsidR="00145E46" w14:paraId="63B4A204" w14:textId="77777777" w:rsidTr="00CC4894">
        <w:tc>
          <w:tcPr>
            <w:tcW w:w="300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C666A0D" w14:textId="77777777" w:rsidR="00145E46" w:rsidRDefault="00145E46" w:rsidP="001016D7">
            <w:pPr>
              <w:jc w:val="center"/>
            </w:pPr>
          </w:p>
        </w:tc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FFF56BB" w14:textId="3E341B6D" w:rsidR="00145E46" w:rsidRPr="00005309" w:rsidRDefault="00005309" w:rsidP="001016D7">
            <w:pPr>
              <w:jc w:val="center"/>
              <w:rPr>
                <w:b/>
                <w:bCs/>
                <w:sz w:val="18"/>
                <w:szCs w:val="18"/>
              </w:rPr>
            </w:pPr>
            <w:r w:rsidRPr="00005309">
              <w:rPr>
                <w:b/>
                <w:bCs/>
                <w:sz w:val="18"/>
                <w:szCs w:val="18"/>
              </w:rPr>
              <w:t>Povinné k naplnění</w:t>
            </w:r>
          </w:p>
        </w:tc>
        <w:tc>
          <w:tcPr>
            <w:tcW w:w="464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AF0DE3" w14:textId="4C818210" w:rsidR="00145E46" w:rsidRPr="00CC4894" w:rsidRDefault="00005309" w:rsidP="00005309">
            <w:pPr>
              <w:rPr>
                <w:sz w:val="18"/>
                <w:szCs w:val="18"/>
              </w:rPr>
            </w:pPr>
            <w:r w:rsidRPr="00CC4894">
              <w:rPr>
                <w:sz w:val="18"/>
                <w:szCs w:val="18"/>
              </w:rPr>
              <w:t>243010 Počet instalovaných technologií</w:t>
            </w:r>
          </w:p>
        </w:tc>
      </w:tr>
    </w:tbl>
    <w:p w14:paraId="4EF2940F" w14:textId="77777777" w:rsidR="002E6FF7" w:rsidRDefault="002E6FF7" w:rsidP="001016D7">
      <w:pPr>
        <w:jc w:val="center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265FC7" w14:paraId="3A8ED3CD" w14:textId="77777777" w:rsidTr="000D13A6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C8A8EA4" w14:textId="3A73CEDE" w:rsidR="00265FC7" w:rsidRPr="001016D7" w:rsidRDefault="00265FC7" w:rsidP="000D1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Náležitosti projektového záměru předloženého na MAS mimo MS21+</w:t>
            </w:r>
          </w:p>
        </w:tc>
      </w:tr>
      <w:tr w:rsidR="00265FC7" w14:paraId="1AE53BC5" w14:textId="77777777" w:rsidTr="00265FC7">
        <w:tc>
          <w:tcPr>
            <w:tcW w:w="33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46033BC" w14:textId="379321E7" w:rsidR="00265FC7" w:rsidRPr="0067435D" w:rsidRDefault="00265FC7" w:rsidP="00265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Náležitosti projektového záměru</w:t>
            </w: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9AD5D68" w14:textId="4BAC16F9" w:rsidR="00265FC7" w:rsidRPr="005B6C67" w:rsidRDefault="00C65A26" w:rsidP="00F53C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12A7">
              <w:rPr>
                <w:sz w:val="20"/>
                <w:szCs w:val="20"/>
              </w:rPr>
              <w:t>1. Vyplněný a elektronicky podepsaný formulář projektového záměru ve formátu pdf (vzor je</w:t>
            </w:r>
            <w:r w:rsidR="00F53C92">
              <w:rPr>
                <w:sz w:val="20"/>
                <w:szCs w:val="20"/>
              </w:rPr>
              <w:t xml:space="preserve"> </w:t>
            </w:r>
            <w:r w:rsidRPr="003812A7">
              <w:rPr>
                <w:sz w:val="20"/>
                <w:szCs w:val="20"/>
              </w:rPr>
              <w:t>součástí výzvy).</w:t>
            </w:r>
          </w:p>
        </w:tc>
      </w:tr>
      <w:tr w:rsidR="00265FC7" w14:paraId="1A75B739" w14:textId="77777777" w:rsidTr="00207371">
        <w:tc>
          <w:tcPr>
            <w:tcW w:w="33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732B800" w14:textId="6EE34874" w:rsidR="00265FC7" w:rsidRPr="0067435D" w:rsidRDefault="00265FC7" w:rsidP="000D13A6">
            <w:pPr>
              <w:rPr>
                <w:b/>
                <w:bCs/>
              </w:rPr>
            </w:pP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1FC9C420" w14:textId="0CA90B01" w:rsidR="00265FC7" w:rsidRPr="003812A7" w:rsidRDefault="00C65A26" w:rsidP="00C65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12A7">
              <w:rPr>
                <w:sz w:val="20"/>
                <w:szCs w:val="20"/>
              </w:rPr>
              <w:t>2. Plná moc ve formátu pdf (je-li relevantní) – plná moc nemusí být ověřená a může být podepsána elektronicky i ručně (vzor je součástí výzvy).</w:t>
            </w:r>
          </w:p>
        </w:tc>
      </w:tr>
      <w:tr w:rsidR="00265FC7" w14:paraId="5A394642" w14:textId="77777777" w:rsidTr="00207371">
        <w:tc>
          <w:tcPr>
            <w:tcW w:w="33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102D701" w14:textId="480850D5" w:rsidR="00265FC7" w:rsidRPr="0067435D" w:rsidRDefault="00265FC7" w:rsidP="000D13A6">
            <w:pPr>
              <w:rPr>
                <w:b/>
                <w:bCs/>
              </w:rPr>
            </w:pP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54FF1E46" w14:textId="6DAD9B12" w:rsidR="00265FC7" w:rsidRPr="003812A7" w:rsidRDefault="00C65A26" w:rsidP="00C65A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12A7">
              <w:rPr>
                <w:sz w:val="20"/>
                <w:szCs w:val="20"/>
              </w:rPr>
              <w:t>3. Další přílohy relevantní pro věcné hodnocení, pokud žadatel chce sdělit další informace nad rámec povinných informací ve formuláři záměru. Tyto další přílohy je nutné odevzdat spolu s formulářem projektového záměru.</w:t>
            </w:r>
          </w:p>
        </w:tc>
      </w:tr>
      <w:tr w:rsidR="00265FC7" w14:paraId="18CDEE48" w14:textId="77777777" w:rsidTr="003812A7">
        <w:tc>
          <w:tcPr>
            <w:tcW w:w="337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2494238" w14:textId="41F77CCD" w:rsidR="00265FC7" w:rsidRPr="0067435D" w:rsidRDefault="00265FC7" w:rsidP="000D13A6">
            <w:pPr>
              <w:rPr>
                <w:b/>
                <w:bCs/>
              </w:rPr>
            </w:pP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3BEE" w14:textId="23E1D8E5" w:rsidR="00265FC7" w:rsidRPr="005B6C67" w:rsidRDefault="003812A7" w:rsidP="000D13A6">
            <w:pPr>
              <w:rPr>
                <w:sz w:val="20"/>
                <w:szCs w:val="20"/>
              </w:rPr>
            </w:pPr>
            <w:r w:rsidRPr="003812A7">
              <w:rPr>
                <w:sz w:val="20"/>
                <w:szCs w:val="20"/>
              </w:rPr>
              <w:t>4. Dvě indikativní cenové nabídky ke každé pořizované položce</w:t>
            </w:r>
          </w:p>
        </w:tc>
      </w:tr>
    </w:tbl>
    <w:p w14:paraId="3C134E17" w14:textId="77777777" w:rsidR="00E674F3" w:rsidRDefault="00E674F3" w:rsidP="001016D7">
      <w:pPr>
        <w:jc w:val="center"/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5640"/>
      </w:tblGrid>
      <w:tr w:rsidR="00A605C4" w14:paraId="6B40FA09" w14:textId="77777777" w:rsidTr="000D13A6"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6DA843E1" w14:textId="56846A14" w:rsidR="00A605C4" w:rsidRPr="001016D7" w:rsidRDefault="00A605C4" w:rsidP="000D1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Způsobilé výdaje</w:t>
            </w:r>
          </w:p>
        </w:tc>
      </w:tr>
      <w:tr w:rsidR="00A605C4" w14:paraId="4699459B" w14:textId="77777777" w:rsidTr="00B23C3A">
        <w:trPr>
          <w:trHeight w:val="1281"/>
        </w:trPr>
        <w:tc>
          <w:tcPr>
            <w:tcW w:w="33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612B4A7A" w14:textId="77777777" w:rsidR="00A605C4" w:rsidRPr="0067435D" w:rsidRDefault="00A605C4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Věcná způsobilost</w:t>
            </w:r>
          </w:p>
          <w:p w14:paraId="36C5094E" w14:textId="06095E89" w:rsidR="00A605C4" w:rsidRPr="0067435D" w:rsidRDefault="00A605C4" w:rsidP="000D13A6">
            <w:pPr>
              <w:rPr>
                <w:b/>
                <w:bCs/>
              </w:rPr>
            </w:pPr>
          </w:p>
        </w:tc>
        <w:tc>
          <w:tcPr>
            <w:tcW w:w="56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855DA9" w14:textId="23F81112" w:rsidR="003F3499" w:rsidRPr="003F3499" w:rsidRDefault="003F3499" w:rsidP="003F3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499">
              <w:rPr>
                <w:sz w:val="20"/>
                <w:szCs w:val="20"/>
              </w:rPr>
              <w:t>Výdaje musí splňovat pravidla programu, výzvy a rozhodnutí o poskytnutí dotace včetně jejich</w:t>
            </w:r>
            <w:r>
              <w:rPr>
                <w:sz w:val="20"/>
                <w:szCs w:val="20"/>
              </w:rPr>
              <w:t xml:space="preserve"> </w:t>
            </w:r>
            <w:r w:rsidRPr="003F3499">
              <w:rPr>
                <w:sz w:val="20"/>
                <w:szCs w:val="20"/>
              </w:rPr>
              <w:t>relevantních příloh.</w:t>
            </w:r>
          </w:p>
          <w:p w14:paraId="47B02E8F" w14:textId="7E11F2DC" w:rsidR="003F3499" w:rsidRPr="003F3499" w:rsidRDefault="003F3499" w:rsidP="003F3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499">
              <w:rPr>
                <w:sz w:val="20"/>
                <w:szCs w:val="20"/>
              </w:rPr>
              <w:t>Podmínky způsobilosti výdajů jsou upraveny zejména v příloze č. 2 – Vymezení způsobilých</w:t>
            </w:r>
            <w:r>
              <w:rPr>
                <w:sz w:val="20"/>
                <w:szCs w:val="20"/>
              </w:rPr>
              <w:t xml:space="preserve"> </w:t>
            </w:r>
            <w:r w:rsidRPr="003F3499">
              <w:rPr>
                <w:sz w:val="20"/>
                <w:szCs w:val="20"/>
              </w:rPr>
              <w:t>výdajů, která je součástí nadřazené výzvy ŘO OP TAK Č. 01_23_026 „Operačního programu</w:t>
            </w:r>
          </w:p>
          <w:p w14:paraId="3C44AB1B" w14:textId="0B38D762" w:rsidR="003F3499" w:rsidRPr="003F3499" w:rsidRDefault="003F3499" w:rsidP="003F3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499">
              <w:rPr>
                <w:sz w:val="20"/>
                <w:szCs w:val="20"/>
              </w:rPr>
              <w:t>Technologie a aplikace pro konkurenceschopnost 2021-2027 - Technologie pro MAS (CLLD) -</w:t>
            </w:r>
            <w:r>
              <w:rPr>
                <w:sz w:val="20"/>
                <w:szCs w:val="20"/>
              </w:rPr>
              <w:t xml:space="preserve"> </w:t>
            </w:r>
            <w:r w:rsidRPr="003F3499">
              <w:rPr>
                <w:sz w:val="20"/>
                <w:szCs w:val="20"/>
              </w:rPr>
              <w:t>Výzva I." a dále Pravidly pro žadatele a příjemce z Operačního programu Technologie a</w:t>
            </w:r>
          </w:p>
          <w:p w14:paraId="090EC166" w14:textId="395CF191" w:rsidR="003F3499" w:rsidRPr="003F3499" w:rsidRDefault="003F3499" w:rsidP="003F3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499">
              <w:rPr>
                <w:sz w:val="20"/>
                <w:szCs w:val="20"/>
              </w:rPr>
              <w:t xml:space="preserve">aplikace pro </w:t>
            </w:r>
            <w:proofErr w:type="gramStart"/>
            <w:r w:rsidRPr="003F3499">
              <w:rPr>
                <w:sz w:val="20"/>
                <w:szCs w:val="20"/>
              </w:rPr>
              <w:t>konkurenceschopnost - obecná</w:t>
            </w:r>
            <w:proofErr w:type="gramEnd"/>
            <w:r w:rsidRPr="003F3499">
              <w:rPr>
                <w:sz w:val="20"/>
                <w:szCs w:val="20"/>
              </w:rPr>
              <w:t xml:space="preserve"> a zvláštní část, vždy v aktuálním znění platném ke</w:t>
            </w:r>
            <w:r>
              <w:rPr>
                <w:sz w:val="20"/>
                <w:szCs w:val="20"/>
              </w:rPr>
              <w:t xml:space="preserve"> </w:t>
            </w:r>
            <w:r w:rsidRPr="003F3499">
              <w:rPr>
                <w:sz w:val="20"/>
                <w:szCs w:val="20"/>
              </w:rPr>
              <w:t>dni vyhlášení výzvy MAS.</w:t>
            </w:r>
          </w:p>
          <w:p w14:paraId="4002CDAD" w14:textId="47F3FA46" w:rsidR="00A605C4" w:rsidRPr="005B6C67" w:rsidRDefault="003F3499" w:rsidP="003F3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499">
              <w:rPr>
                <w:sz w:val="20"/>
                <w:szCs w:val="20"/>
              </w:rPr>
              <w:t>V době realizace, tj. od data vydání právního aktu, se příjemce řídí vždy aktuální verzí výše</w:t>
            </w:r>
            <w:r>
              <w:rPr>
                <w:sz w:val="20"/>
                <w:szCs w:val="20"/>
              </w:rPr>
              <w:t xml:space="preserve"> </w:t>
            </w:r>
            <w:r w:rsidRPr="003F3499">
              <w:rPr>
                <w:sz w:val="20"/>
                <w:szCs w:val="20"/>
              </w:rPr>
              <w:t>uvedených Pravidel.</w:t>
            </w:r>
          </w:p>
        </w:tc>
      </w:tr>
      <w:tr w:rsidR="00A605C4" w14:paraId="2B4503DC" w14:textId="77777777" w:rsidTr="000D13A6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99C02CB" w14:textId="20B97CF0" w:rsidR="00A605C4" w:rsidRPr="0067435D" w:rsidRDefault="00383619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Časová způsobilost</w:t>
            </w:r>
          </w:p>
        </w:tc>
        <w:tc>
          <w:tcPr>
            <w:tcW w:w="5640" w:type="dxa"/>
            <w:tcBorders>
              <w:left w:val="single" w:sz="24" w:space="0" w:color="auto"/>
              <w:right w:val="single" w:sz="24" w:space="0" w:color="auto"/>
            </w:tcBorders>
          </w:tcPr>
          <w:p w14:paraId="1123F39A" w14:textId="00D8B5CF" w:rsidR="00A605C4" w:rsidRPr="005B6C67" w:rsidRDefault="00383619" w:rsidP="000D13A6">
            <w:pPr>
              <w:rPr>
                <w:sz w:val="20"/>
                <w:szCs w:val="20"/>
              </w:rPr>
            </w:pPr>
            <w:r w:rsidRPr="00383619">
              <w:rPr>
                <w:sz w:val="20"/>
                <w:szCs w:val="20"/>
              </w:rPr>
              <w:t>Výdaje jsou způsobilé od podání Žádosti o podporu do nadřazené výzvy ŘO OP TAK.</w:t>
            </w:r>
          </w:p>
        </w:tc>
      </w:tr>
      <w:tr w:rsidR="00A605C4" w14:paraId="43C6B71F" w14:textId="77777777" w:rsidTr="000D13A6">
        <w:tc>
          <w:tcPr>
            <w:tcW w:w="33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1B1C925" w14:textId="4C045EEF" w:rsidR="00A605C4" w:rsidRPr="00C4175D" w:rsidRDefault="00C4175D" w:rsidP="000D13A6">
            <w:pPr>
              <w:rPr>
                <w:sz w:val="20"/>
                <w:szCs w:val="20"/>
              </w:rPr>
            </w:pPr>
            <w:r w:rsidRPr="00C4175D">
              <w:rPr>
                <w:b/>
                <w:bCs/>
              </w:rPr>
              <w:t>Informace o křížovém financování</w:t>
            </w:r>
          </w:p>
        </w:tc>
        <w:tc>
          <w:tcPr>
            <w:tcW w:w="56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7E4916" w14:textId="5B1E619C" w:rsidR="00A605C4" w:rsidRPr="005B6C67" w:rsidRDefault="00C4175D" w:rsidP="000D13A6">
            <w:pPr>
              <w:rPr>
                <w:sz w:val="20"/>
                <w:szCs w:val="20"/>
              </w:rPr>
            </w:pPr>
            <w:r w:rsidRPr="00C4175D">
              <w:rPr>
                <w:sz w:val="20"/>
                <w:szCs w:val="20"/>
              </w:rPr>
              <w:t>Pro výzvu není křížové financování relevantní.</w:t>
            </w:r>
          </w:p>
        </w:tc>
      </w:tr>
    </w:tbl>
    <w:p w14:paraId="4E7E6211" w14:textId="77777777" w:rsidR="00F53C92" w:rsidRDefault="00F53C92" w:rsidP="001016D7">
      <w:pPr>
        <w:jc w:val="center"/>
      </w:pPr>
    </w:p>
    <w:tbl>
      <w:tblPr>
        <w:tblStyle w:val="Mkatabulky"/>
        <w:tblW w:w="9012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47"/>
        <w:gridCol w:w="6065"/>
      </w:tblGrid>
      <w:tr w:rsidR="00124C22" w14:paraId="2CAC9107" w14:textId="77777777" w:rsidTr="000D13A6">
        <w:trPr>
          <w:trHeight w:val="329"/>
        </w:trPr>
        <w:tc>
          <w:tcPr>
            <w:tcW w:w="901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214A28B" w14:textId="647AE1B6" w:rsidR="00124C22" w:rsidRPr="001016D7" w:rsidRDefault="00124C22" w:rsidP="000D13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Další detaily výzvy</w:t>
            </w:r>
          </w:p>
        </w:tc>
      </w:tr>
      <w:tr w:rsidR="00F0733F" w14:paraId="65856CE0" w14:textId="77777777" w:rsidTr="003422D1">
        <w:trPr>
          <w:trHeight w:val="279"/>
        </w:trPr>
        <w:tc>
          <w:tcPr>
            <w:tcW w:w="29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3448DE9" w14:textId="18E47C01" w:rsidR="00F0733F" w:rsidRPr="0067435D" w:rsidRDefault="00F0733F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Provádění změn výzvy</w:t>
            </w:r>
          </w:p>
        </w:tc>
        <w:tc>
          <w:tcPr>
            <w:tcW w:w="606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80511B7" w14:textId="645E26BB" w:rsidR="00F0733F" w:rsidRPr="00F0733F" w:rsidRDefault="00F0733F" w:rsidP="007D2E9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Oslavka,o.p.s.</w:t>
            </w:r>
            <w:proofErr w:type="gramEnd"/>
            <w:r>
              <w:rPr>
                <w:sz w:val="20"/>
                <w:szCs w:val="20"/>
              </w:rPr>
              <w:t xml:space="preserve"> má možnost provádět změny ve výzvě MAS pro příjem projektových záměrů. Změna musí být zveřejněna na webových stránkách </w:t>
            </w:r>
            <w:proofErr w:type="gramStart"/>
            <w:r>
              <w:rPr>
                <w:sz w:val="20"/>
                <w:szCs w:val="20"/>
              </w:rPr>
              <w:t>Oslavka,o.p.s.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D2E9F">
              <w:rPr>
                <w:sz w:val="20"/>
                <w:szCs w:val="20"/>
              </w:rPr>
              <w:t>www.oslavka.cz</w:t>
            </w:r>
          </w:p>
        </w:tc>
      </w:tr>
      <w:tr w:rsidR="00F0733F" w14:paraId="3CE518E9" w14:textId="77777777" w:rsidTr="0061230B">
        <w:trPr>
          <w:trHeight w:val="296"/>
        </w:trPr>
        <w:tc>
          <w:tcPr>
            <w:tcW w:w="29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AAEAD95" w14:textId="1CE4C68A" w:rsidR="00F0733F" w:rsidRPr="0067435D" w:rsidRDefault="00F0733F" w:rsidP="000D13A6">
            <w:pPr>
              <w:rPr>
                <w:b/>
                <w:bCs/>
              </w:rPr>
            </w:pP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D39AC3" w14:textId="0D59DAA8" w:rsidR="00F0733F" w:rsidRPr="005B6C67" w:rsidRDefault="007D2E9F" w:rsidP="007D2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výzv</w:t>
            </w:r>
            <w:r w:rsidR="00525407">
              <w:rPr>
                <w:sz w:val="20"/>
                <w:szCs w:val="20"/>
              </w:rPr>
              <w:t>y</w:t>
            </w:r>
            <w:r w:rsidR="00DE41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73058">
              <w:rPr>
                <w:sz w:val="20"/>
                <w:szCs w:val="20"/>
              </w:rPr>
              <w:t>musí</w:t>
            </w:r>
            <w:proofErr w:type="gramEnd"/>
            <w:r w:rsidR="00F73058">
              <w:rPr>
                <w:sz w:val="20"/>
                <w:szCs w:val="20"/>
              </w:rPr>
              <w:t xml:space="preserve"> být v souladu s MP VHVP, zejména 4.2.4. </w:t>
            </w:r>
            <w:r>
              <w:rPr>
                <w:sz w:val="20"/>
                <w:szCs w:val="20"/>
              </w:rPr>
              <w:t>Operační program technologie a aplikace pro konkurencesch</w:t>
            </w:r>
            <w:r w:rsidR="006F113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pnost na programové období 2021-2027</w:t>
            </w:r>
            <w:r w:rsidR="00F73058">
              <w:rPr>
                <w:sz w:val="20"/>
                <w:szCs w:val="20"/>
              </w:rPr>
              <w:t xml:space="preserve">. </w:t>
            </w:r>
          </w:p>
        </w:tc>
      </w:tr>
      <w:tr w:rsidR="005D1035" w14:paraId="36924888" w14:textId="77777777" w:rsidTr="0061230B">
        <w:trPr>
          <w:trHeight w:val="1140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3BF975F7" w14:textId="7C467D72" w:rsidR="005D1035" w:rsidRPr="0067435D" w:rsidRDefault="005D1035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Způsob hodnocení projektů</w:t>
            </w:r>
          </w:p>
        </w:tc>
        <w:tc>
          <w:tcPr>
            <w:tcW w:w="60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75ABF7" w14:textId="79A73528" w:rsidR="005A0585" w:rsidRDefault="005D1035" w:rsidP="005D1035">
            <w:pPr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 xml:space="preserve">Způsob hodnocení je stanoven ve Interní směrnicí OP </w:t>
            </w:r>
            <w:proofErr w:type="gramStart"/>
            <w:r w:rsidRPr="00434F87">
              <w:rPr>
                <w:sz w:val="20"/>
                <w:szCs w:val="20"/>
              </w:rPr>
              <w:t>TAK</w:t>
            </w:r>
            <w:r w:rsidR="007149A7" w:rsidRPr="00434F87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 xml:space="preserve"> </w:t>
            </w:r>
            <w:r w:rsidR="008B5054">
              <w:rPr>
                <w:sz w:val="20"/>
                <w:szCs w:val="20"/>
              </w:rPr>
              <w:t>pro</w:t>
            </w:r>
            <w:proofErr w:type="gramEnd"/>
            <w:r w:rsidR="008B5054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>Programo</w:t>
            </w:r>
            <w:r w:rsidR="008B5054">
              <w:rPr>
                <w:sz w:val="20"/>
                <w:szCs w:val="20"/>
              </w:rPr>
              <w:t>vý</w:t>
            </w:r>
            <w:r w:rsidRPr="00434F87">
              <w:rPr>
                <w:sz w:val="20"/>
                <w:szCs w:val="20"/>
              </w:rPr>
              <w:t xml:space="preserve"> rám</w:t>
            </w:r>
            <w:r w:rsidR="008B5054">
              <w:rPr>
                <w:sz w:val="20"/>
                <w:szCs w:val="20"/>
              </w:rPr>
              <w:t>ec</w:t>
            </w:r>
            <w:r w:rsidRPr="00434F87">
              <w:rPr>
                <w:sz w:val="20"/>
                <w:szCs w:val="20"/>
              </w:rPr>
              <w:t xml:space="preserve"> OP TAK 2021 – 2027 Strategie </w:t>
            </w:r>
            <w:r w:rsidR="007149A7" w:rsidRPr="00434F87">
              <w:rPr>
                <w:sz w:val="20"/>
                <w:szCs w:val="20"/>
              </w:rPr>
              <w:t>S</w:t>
            </w:r>
            <w:r w:rsidRPr="00434F87">
              <w:rPr>
                <w:sz w:val="20"/>
                <w:szCs w:val="20"/>
              </w:rPr>
              <w:t xml:space="preserve">CLLD </w:t>
            </w:r>
            <w:r w:rsidR="007149A7" w:rsidRPr="00434F87">
              <w:rPr>
                <w:sz w:val="20"/>
                <w:szCs w:val="20"/>
              </w:rPr>
              <w:t>Oslavka</w:t>
            </w:r>
            <w:r w:rsidRPr="00434F87">
              <w:rPr>
                <w:sz w:val="20"/>
                <w:szCs w:val="20"/>
              </w:rPr>
              <w:t xml:space="preserve">, o.p.s. „Koncepční část strategie </w:t>
            </w:r>
            <w:r w:rsidR="007149A7" w:rsidRPr="00434F87">
              <w:rPr>
                <w:sz w:val="20"/>
                <w:szCs w:val="20"/>
              </w:rPr>
              <w:t>S</w:t>
            </w:r>
            <w:r w:rsidRPr="00434F87">
              <w:rPr>
                <w:sz w:val="20"/>
                <w:szCs w:val="20"/>
              </w:rPr>
              <w:t xml:space="preserve">CLLD </w:t>
            </w:r>
            <w:r w:rsidR="00897AC0" w:rsidRPr="00434F87">
              <w:rPr>
                <w:sz w:val="20"/>
                <w:szCs w:val="20"/>
              </w:rPr>
              <w:t>Oslavka</w:t>
            </w:r>
            <w:r w:rsidRPr="00434F87">
              <w:rPr>
                <w:sz w:val="20"/>
                <w:szCs w:val="20"/>
              </w:rPr>
              <w:t>, o.p.s. pro období 2021 – 2027“ (verze č. 1, platnost a účinnost od 2</w:t>
            </w:r>
            <w:r w:rsidR="00897AC0" w:rsidRPr="00434F87">
              <w:rPr>
                <w:sz w:val="20"/>
                <w:szCs w:val="20"/>
              </w:rPr>
              <w:t>0</w:t>
            </w:r>
            <w:r w:rsidRPr="00434F87">
              <w:rPr>
                <w:sz w:val="20"/>
                <w:szCs w:val="20"/>
              </w:rPr>
              <w:t xml:space="preserve">. </w:t>
            </w:r>
            <w:r w:rsidR="00897AC0" w:rsidRPr="00434F87">
              <w:rPr>
                <w:sz w:val="20"/>
                <w:szCs w:val="20"/>
              </w:rPr>
              <w:t>12</w:t>
            </w:r>
            <w:r w:rsidRPr="00434F87">
              <w:rPr>
                <w:sz w:val="20"/>
                <w:szCs w:val="20"/>
              </w:rPr>
              <w:t xml:space="preserve">. 2023), která je zveřejněna na internetových stránkách </w:t>
            </w:r>
            <w:r w:rsidR="00897AC0" w:rsidRPr="00434F87">
              <w:rPr>
                <w:sz w:val="20"/>
                <w:szCs w:val="20"/>
              </w:rPr>
              <w:t xml:space="preserve">Oslavka,o.p.s. – </w:t>
            </w:r>
            <w:hyperlink r:id="rId12" w:history="1">
              <w:r w:rsidR="005A0585" w:rsidRPr="00F11C99">
                <w:rPr>
                  <w:rStyle w:val="Hypertextovodkaz"/>
                  <w:sz w:val="20"/>
                  <w:szCs w:val="20"/>
                </w:rPr>
                <w:t>https://www.oslavka.cz/aktualni-vyzvy/</w:t>
              </w:r>
            </w:hyperlink>
          </w:p>
          <w:p w14:paraId="5F6A8888" w14:textId="77777777" w:rsidR="005A0585" w:rsidRDefault="005A0585" w:rsidP="005D1035">
            <w:pPr>
              <w:rPr>
                <w:sz w:val="20"/>
                <w:szCs w:val="20"/>
              </w:rPr>
            </w:pPr>
          </w:p>
          <w:p w14:paraId="28124E00" w14:textId="749515E3" w:rsidR="005D1035" w:rsidRDefault="005D1035" w:rsidP="005D1035">
            <w:pPr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 xml:space="preserve">Hodnotitelé na MAS provádějí hodnocení podle předem stanovených kritérií pro hodnocení Projektových záměrů a vyplňují kontrolní list. Ke každému kritériu uvádějí srozumitelné odůvodnění výsledku hodnocení. </w:t>
            </w:r>
          </w:p>
          <w:p w14:paraId="682B2E9D" w14:textId="77777777" w:rsidR="005A0585" w:rsidRDefault="005A0585" w:rsidP="005D1035">
            <w:pPr>
              <w:rPr>
                <w:sz w:val="20"/>
                <w:szCs w:val="20"/>
              </w:rPr>
            </w:pPr>
          </w:p>
          <w:p w14:paraId="6E399695" w14:textId="2B95D87F" w:rsidR="005A0585" w:rsidRDefault="005A0585" w:rsidP="005D1035">
            <w:pPr>
              <w:rPr>
                <w:sz w:val="20"/>
                <w:szCs w:val="20"/>
              </w:rPr>
            </w:pPr>
          </w:p>
          <w:p w14:paraId="2F8B5D2E" w14:textId="77777777" w:rsidR="005A0585" w:rsidRPr="00434F87" w:rsidRDefault="005A0585" w:rsidP="005D1035">
            <w:pPr>
              <w:rPr>
                <w:sz w:val="20"/>
                <w:szCs w:val="20"/>
              </w:rPr>
            </w:pPr>
          </w:p>
          <w:p w14:paraId="34D873FB" w14:textId="77777777" w:rsid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lastRenderedPageBreak/>
              <w:t>Hodnocení projektů probíhá v těchto fázích:</w:t>
            </w:r>
          </w:p>
          <w:p w14:paraId="769A8BCD" w14:textId="77777777" w:rsidR="005A0585" w:rsidRPr="00434F87" w:rsidRDefault="005A0585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EE62DD6" w14:textId="77777777" w:rsidR="00434F87" w:rsidRP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1) Administrativní kontrola projektových záměrů, tj. posouzení souladu projektového záměru</w:t>
            </w:r>
          </w:p>
          <w:p w14:paraId="0F7959CA" w14:textId="2FAFC7C1" w:rsid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s programovým rámcem OP TAK –</w:t>
            </w:r>
            <w:r w:rsidR="005A0585">
              <w:rPr>
                <w:sz w:val="20"/>
                <w:szCs w:val="20"/>
              </w:rPr>
              <w:t xml:space="preserve"> provádí </w:t>
            </w:r>
            <w:r w:rsidRPr="00434F87">
              <w:rPr>
                <w:sz w:val="20"/>
                <w:szCs w:val="20"/>
              </w:rPr>
              <w:t>vedoucí zaměstnanec SCLLD.</w:t>
            </w:r>
          </w:p>
          <w:p w14:paraId="6503D185" w14:textId="77777777" w:rsidR="005A0585" w:rsidRPr="00434F87" w:rsidRDefault="005A0585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B535A8" w14:textId="704625CD" w:rsid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2) Věcné hodnocení projektových záměrů podle schválených kritérií pro věcné hodnocení –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>provádí Výběrová komise MAS.</w:t>
            </w:r>
          </w:p>
          <w:p w14:paraId="00C59A28" w14:textId="77777777" w:rsidR="005A0585" w:rsidRPr="00434F87" w:rsidRDefault="005A0585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7946414" w14:textId="48F57A14" w:rsidR="00434F87" w:rsidRDefault="00434F87" w:rsidP="005A0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3) Výběr projektových záměrů - provádí Programový výbor MAS, včetně odeslání Vyjádření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 xml:space="preserve">MAS o souladu/nesouladu projektového záměru se schválenou strategií </w:t>
            </w:r>
            <w:r w:rsidR="00CA0C22">
              <w:rPr>
                <w:sz w:val="20"/>
                <w:szCs w:val="20"/>
              </w:rPr>
              <w:t>S</w:t>
            </w:r>
            <w:r w:rsidRPr="00434F87">
              <w:rPr>
                <w:sz w:val="20"/>
                <w:szCs w:val="20"/>
              </w:rPr>
              <w:t xml:space="preserve">CLLD </w:t>
            </w:r>
            <w:proofErr w:type="gramStart"/>
            <w:r w:rsidR="005A0585">
              <w:rPr>
                <w:sz w:val="20"/>
                <w:szCs w:val="20"/>
              </w:rPr>
              <w:t>Oslavka,o.p.s.</w:t>
            </w:r>
            <w:proofErr w:type="gramEnd"/>
          </w:p>
          <w:p w14:paraId="189CEE7F" w14:textId="77777777" w:rsidR="005A0585" w:rsidRPr="00434F87" w:rsidRDefault="005A0585" w:rsidP="005A0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6BD821" w14:textId="2B34C0CA" w:rsid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4) Předložení plné žádosti o podporu včetně příloh do MS2021+ v souladu s textem příslušné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>nadřazené výzvy OP TAK a jejích příloh (v případě kladného „Vyjádření MAS o souladu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 xml:space="preserve">projektového záměru se schválenou strategií </w:t>
            </w:r>
            <w:r w:rsidR="005A0585">
              <w:rPr>
                <w:sz w:val="20"/>
                <w:szCs w:val="20"/>
              </w:rPr>
              <w:t>S</w:t>
            </w:r>
            <w:r w:rsidRPr="00434F87">
              <w:rPr>
                <w:sz w:val="20"/>
                <w:szCs w:val="20"/>
              </w:rPr>
              <w:t xml:space="preserve">CLLD </w:t>
            </w:r>
            <w:r w:rsidR="005A0585">
              <w:rPr>
                <w:sz w:val="20"/>
                <w:szCs w:val="20"/>
              </w:rPr>
              <w:t>Oslavka</w:t>
            </w:r>
            <w:r w:rsidRPr="00434F87">
              <w:rPr>
                <w:sz w:val="20"/>
                <w:szCs w:val="20"/>
              </w:rPr>
              <w:t>, o.p.s.“).</w:t>
            </w:r>
          </w:p>
          <w:p w14:paraId="7B9EC0BE" w14:textId="77777777" w:rsidR="005A0585" w:rsidRPr="00434F87" w:rsidRDefault="005A0585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58198CC" w14:textId="2C5174CE" w:rsidR="00434F87" w:rsidRPr="00434F87" w:rsidRDefault="00434F87" w:rsidP="00434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5) Hodnocení plných žádostí o podporu a jejich příloh – provádí ŘO OP TAK ve spolupráci se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 xml:space="preserve">zprostředkujícím </w:t>
            </w:r>
            <w:proofErr w:type="gramStart"/>
            <w:r w:rsidRPr="00434F87">
              <w:rPr>
                <w:sz w:val="20"/>
                <w:szCs w:val="20"/>
              </w:rPr>
              <w:t>subjektem - Agenturou</w:t>
            </w:r>
            <w:proofErr w:type="gramEnd"/>
            <w:r w:rsidRPr="00434F87">
              <w:rPr>
                <w:sz w:val="20"/>
                <w:szCs w:val="20"/>
              </w:rPr>
              <w:t xml:space="preserve"> pro podnikání a inovace (dále jen API) na základě</w:t>
            </w:r>
          </w:p>
          <w:p w14:paraId="7034D9BE" w14:textId="66B28640" w:rsidR="00434F87" w:rsidRPr="005B6C67" w:rsidRDefault="00434F87" w:rsidP="005A0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4F87">
              <w:rPr>
                <w:sz w:val="20"/>
                <w:szCs w:val="20"/>
              </w:rPr>
              <w:t>podkladů nadřazené dané výzvy OP TAK pro CLLD, které jsou uvedeny na webu ŘO OP TAK u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>každé nadřazené výzvy ŘO OP TAK. Výstupem kladného hodnocení je vydán právní akt ŘO OP</w:t>
            </w:r>
            <w:r w:rsidR="005A0585">
              <w:rPr>
                <w:sz w:val="20"/>
                <w:szCs w:val="20"/>
              </w:rPr>
              <w:t xml:space="preserve"> </w:t>
            </w:r>
            <w:r w:rsidRPr="00434F87">
              <w:rPr>
                <w:sz w:val="20"/>
                <w:szCs w:val="20"/>
              </w:rPr>
              <w:t>TAK.</w:t>
            </w:r>
          </w:p>
        </w:tc>
      </w:tr>
      <w:tr w:rsidR="00124C22" w14:paraId="03088ECB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0553290" w14:textId="4CBDD60A" w:rsidR="00124C22" w:rsidRPr="0067435D" w:rsidRDefault="00163E2E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Kritéria pro hodnocení projektových záměrů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7D3A38FB" w14:textId="77777777" w:rsidR="00124C22" w:rsidRDefault="00163E2E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Kritéria hodnocení projektových záměrů jsou součástí této výzvy jako příloha č. 2 a obsahují:</w:t>
            </w:r>
          </w:p>
          <w:p w14:paraId="4C5246E4" w14:textId="77777777" w:rsidR="00163E2E" w:rsidRDefault="00163E2E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Kritéria administrativní kontroly</w:t>
            </w:r>
          </w:p>
          <w:p w14:paraId="5F816B91" w14:textId="2D5039B4" w:rsidR="00163E2E" w:rsidRPr="005B6C67" w:rsidRDefault="00163E2E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Kritéria věcného hodnocení</w:t>
            </w:r>
          </w:p>
        </w:tc>
      </w:tr>
      <w:tr w:rsidR="00F0733F" w14:paraId="5088FD1D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A38F910" w14:textId="070BE4DE" w:rsidR="00F0733F" w:rsidRDefault="00163E2E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Další specifika výzvy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06B7B435" w14:textId="1C5D52C7" w:rsidR="00F0733F" w:rsidRDefault="00163E2E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Počet projektů od jednoho žadatele (1 IČ) je omezen v rámci Výzvy na jednu aktivní žádost. Projekt musí být jednoetapový. </w:t>
            </w:r>
          </w:p>
        </w:tc>
      </w:tr>
      <w:tr w:rsidR="00F0733F" w14:paraId="74B67072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B7073E" w14:textId="65A1F7DC" w:rsidR="00F0733F" w:rsidRDefault="00163E2E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Forma a způsob podání projektového záměru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189DB1B0" w14:textId="61859E12" w:rsidR="00F0733F" w:rsidRDefault="003C2ACA" w:rsidP="003C2A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2ACA">
              <w:rPr>
                <w:sz w:val="20"/>
                <w:szCs w:val="20"/>
              </w:rPr>
              <w:t>Projektový záměr ve formátu pdf opatřený elektronickým podpisem osoby jednající jménem</w:t>
            </w:r>
            <w:r>
              <w:rPr>
                <w:sz w:val="20"/>
                <w:szCs w:val="20"/>
              </w:rPr>
              <w:t xml:space="preserve"> </w:t>
            </w:r>
            <w:r w:rsidRPr="003C2ACA">
              <w:rPr>
                <w:sz w:val="20"/>
                <w:szCs w:val="20"/>
              </w:rPr>
              <w:t>žadatele (nebo zmocněných na základě plné moci) a relevantní přílohy je nutné zaslat do</w:t>
            </w:r>
            <w:r>
              <w:rPr>
                <w:sz w:val="20"/>
                <w:szCs w:val="20"/>
              </w:rPr>
              <w:t xml:space="preserve"> </w:t>
            </w:r>
            <w:r w:rsidRPr="003C2ACA">
              <w:rPr>
                <w:sz w:val="20"/>
                <w:szCs w:val="20"/>
              </w:rPr>
              <w:t xml:space="preserve">datové schránky MAS na adresu: </w:t>
            </w:r>
            <w:r w:rsidRPr="003C2ACA">
              <w:rPr>
                <w:b/>
                <w:bCs/>
                <w:sz w:val="20"/>
                <w:szCs w:val="20"/>
              </w:rPr>
              <w:t>hbxs7e6</w:t>
            </w:r>
            <w:r w:rsidRPr="003C2ACA">
              <w:rPr>
                <w:sz w:val="20"/>
                <w:szCs w:val="20"/>
              </w:rPr>
              <w:t>. Žadatel uvede do předmětu datové zprávy název a</w:t>
            </w:r>
            <w:r>
              <w:rPr>
                <w:sz w:val="20"/>
                <w:szCs w:val="20"/>
              </w:rPr>
              <w:t xml:space="preserve"> </w:t>
            </w:r>
            <w:r w:rsidRPr="003C2ACA">
              <w:rPr>
                <w:sz w:val="20"/>
                <w:szCs w:val="20"/>
              </w:rPr>
              <w:t>číslo výzvy, do které podává projektový záměr.</w:t>
            </w:r>
          </w:p>
        </w:tc>
      </w:tr>
      <w:tr w:rsidR="00163E2E" w14:paraId="7FC5E166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2AA49491" w14:textId="2D74865A" w:rsidR="00163E2E" w:rsidRDefault="002E52BE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Odkaz na podmínky nadřazené výzvy ŘO OP TAK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4379D093" w14:textId="482FF2CE" w:rsidR="008F3C72" w:rsidRDefault="008F3C72" w:rsidP="00ED355E">
            <w:hyperlink r:id="rId13" w:history="1">
              <w:r w:rsidRPr="005D47EF">
                <w:rPr>
                  <w:rStyle w:val="Hypertextovodkaz"/>
                </w:rPr>
                <w:t>https://optak.gov.cz/UserFiles/File/1740750181text-v-zvy-technologie-pro-mas-clld-v-zva-i-aktual-27-2-2025.pdf</w:t>
              </w:r>
            </w:hyperlink>
          </w:p>
          <w:p w14:paraId="43B5D3AB" w14:textId="77777777" w:rsidR="008F3C72" w:rsidRDefault="008F3C72" w:rsidP="00ED355E"/>
          <w:p w14:paraId="06E44F61" w14:textId="7E5F5345" w:rsidR="008F3C72" w:rsidRDefault="008F3C72" w:rsidP="00ED355E">
            <w:pPr>
              <w:rPr>
                <w:sz w:val="20"/>
                <w:szCs w:val="20"/>
              </w:rPr>
            </w:pPr>
          </w:p>
        </w:tc>
      </w:tr>
      <w:tr w:rsidR="00163E2E" w14:paraId="55CAD429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373F608" w14:textId="0E223C49" w:rsidR="00163E2E" w:rsidRDefault="002E52BE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Odkaz na Pravidla pro žadatele a příjemce – obecná část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0CB4221F" w14:textId="5A87C4C6" w:rsidR="00163E2E" w:rsidRDefault="00CA0C22" w:rsidP="002E52BE">
            <w:pPr>
              <w:rPr>
                <w:rStyle w:val="Hypertextovodkaz"/>
                <w:sz w:val="20"/>
                <w:szCs w:val="20"/>
              </w:rPr>
            </w:pPr>
            <w:hyperlink r:id="rId14" w:history="1">
              <w:r w:rsidRPr="005D47EF">
                <w:rPr>
                  <w:rStyle w:val="Hypertextovodkaz"/>
                  <w:sz w:val="20"/>
                  <w:szCs w:val="20"/>
                </w:rPr>
                <w:t>https://optak.gov.cz/UserFiles/File/1740741986pravidla-pro-adatele-a-p-jemce-obecn-st-verze-7-ist-.pdf</w:t>
              </w:r>
            </w:hyperlink>
          </w:p>
          <w:p w14:paraId="42B285FB" w14:textId="7680B1E2" w:rsidR="00CA0C22" w:rsidRDefault="00CA0C22" w:rsidP="002E52BE">
            <w:pPr>
              <w:rPr>
                <w:sz w:val="20"/>
                <w:szCs w:val="20"/>
              </w:rPr>
            </w:pPr>
          </w:p>
        </w:tc>
      </w:tr>
      <w:tr w:rsidR="00163E2E" w14:paraId="3E84A211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5672D77" w14:textId="660C3622" w:rsidR="00163E2E" w:rsidRDefault="00FB6DF9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Povinné přílohy</w:t>
            </w:r>
            <w:r w:rsidR="008C5C03">
              <w:rPr>
                <w:b/>
                <w:bCs/>
              </w:rPr>
              <w:t xml:space="preserve"> výzvy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0D507A12" w14:textId="1FA904FF" w:rsidR="00163E2E" w:rsidRDefault="008C5C03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Formulář Projektového záměru – vzor</w:t>
            </w:r>
          </w:p>
          <w:p w14:paraId="2247FB69" w14:textId="6F9D635B" w:rsidR="008C5C03" w:rsidRDefault="008C5C03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3F66BB">
              <w:rPr>
                <w:sz w:val="20"/>
                <w:szCs w:val="20"/>
              </w:rPr>
              <w:t>Dvě indikativní cenové nabídky ke každé pořizované položce</w:t>
            </w:r>
            <w:r w:rsidR="00734A6C">
              <w:rPr>
                <w:sz w:val="20"/>
                <w:szCs w:val="20"/>
              </w:rPr>
              <w:t>, vyjma nepřímých nákladů.</w:t>
            </w:r>
          </w:p>
        </w:tc>
      </w:tr>
      <w:tr w:rsidR="00F0733F" w14:paraId="3BEC47F5" w14:textId="77777777" w:rsidTr="000D13A6">
        <w:trPr>
          <w:trHeight w:val="296"/>
        </w:trPr>
        <w:tc>
          <w:tcPr>
            <w:tcW w:w="29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7A5E9CC" w14:textId="2C99E402" w:rsidR="00F0733F" w:rsidRDefault="008A7496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Kontakt pro poskytování informací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B5AAC1E" w14:textId="77777777" w:rsidR="00F0733F" w:rsidRDefault="00C74FF3" w:rsidP="000D13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Oslavka,o.p.s.</w:t>
            </w:r>
            <w:proofErr w:type="gramEnd"/>
          </w:p>
          <w:p w14:paraId="456E6129" w14:textId="77777777" w:rsidR="00C74FF3" w:rsidRDefault="00C74FF3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Šárka Zedníčková</w:t>
            </w:r>
          </w:p>
          <w:p w14:paraId="0306EE30" w14:textId="6C84580C" w:rsidR="00C74FF3" w:rsidRDefault="00C74FF3" w:rsidP="000D13A6">
            <w:pPr>
              <w:rPr>
                <w:sz w:val="20"/>
                <w:szCs w:val="20"/>
              </w:rPr>
            </w:pPr>
            <w:hyperlink r:id="rId15" w:history="1">
              <w:r w:rsidRPr="00F11C99">
                <w:rPr>
                  <w:rStyle w:val="Hypertextovodkaz"/>
                  <w:sz w:val="20"/>
                  <w:szCs w:val="20"/>
                </w:rPr>
                <w:t>zednickova@oslavka.cz</w:t>
              </w:r>
            </w:hyperlink>
            <w:r>
              <w:rPr>
                <w:sz w:val="20"/>
                <w:szCs w:val="20"/>
              </w:rPr>
              <w:t>, tel: 775 560 241</w:t>
            </w:r>
          </w:p>
        </w:tc>
      </w:tr>
      <w:tr w:rsidR="00C74FF3" w14:paraId="751C102E" w14:textId="77777777" w:rsidTr="00B83639">
        <w:trPr>
          <w:trHeight w:val="296"/>
        </w:trPr>
        <w:tc>
          <w:tcPr>
            <w:tcW w:w="294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952009C" w14:textId="3A311DF8" w:rsidR="00C74FF3" w:rsidRDefault="00C74FF3" w:rsidP="000D13A6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 výzvy</w:t>
            </w: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69EE46B9" w14:textId="616CBE5D" w:rsidR="00C74FF3" w:rsidRDefault="002311AB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1 – Formulář P</w:t>
            </w:r>
            <w:r w:rsidR="00412568">
              <w:rPr>
                <w:sz w:val="20"/>
                <w:szCs w:val="20"/>
              </w:rPr>
              <w:t>rojektového záměru – vzor</w:t>
            </w:r>
          </w:p>
        </w:tc>
      </w:tr>
      <w:tr w:rsidR="00C74FF3" w14:paraId="42486104" w14:textId="77777777" w:rsidTr="00B83639">
        <w:trPr>
          <w:trHeight w:val="296"/>
        </w:trPr>
        <w:tc>
          <w:tcPr>
            <w:tcW w:w="294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E6948D0" w14:textId="66A38A53" w:rsidR="00C74FF3" w:rsidRDefault="00C74FF3" w:rsidP="000D13A6">
            <w:pPr>
              <w:rPr>
                <w:b/>
                <w:bCs/>
              </w:rPr>
            </w:pP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781B16D8" w14:textId="027B7C96" w:rsidR="00C74FF3" w:rsidRDefault="00412568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Příloha č. 2 </w:t>
            </w:r>
            <w:r w:rsidR="008B042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8B042C">
              <w:rPr>
                <w:sz w:val="20"/>
                <w:szCs w:val="20"/>
              </w:rPr>
              <w:t>Kritéria pro hodnocení projektových záměrů</w:t>
            </w:r>
          </w:p>
        </w:tc>
      </w:tr>
      <w:tr w:rsidR="002311AB" w14:paraId="16C0CEED" w14:textId="77777777" w:rsidTr="008B042C">
        <w:trPr>
          <w:trHeight w:val="296"/>
        </w:trPr>
        <w:tc>
          <w:tcPr>
            <w:tcW w:w="294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06F08292" w14:textId="77777777" w:rsidR="002311AB" w:rsidRDefault="002311AB" w:rsidP="000D13A6">
            <w:pPr>
              <w:rPr>
                <w:b/>
                <w:bCs/>
              </w:rPr>
            </w:pPr>
          </w:p>
        </w:tc>
        <w:tc>
          <w:tcPr>
            <w:tcW w:w="606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CDBC62" w14:textId="7E973B33" w:rsidR="002311AB" w:rsidRDefault="008B042C" w:rsidP="000D1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Příloha č. 3 – Plná moc – vzor</w:t>
            </w:r>
          </w:p>
        </w:tc>
      </w:tr>
    </w:tbl>
    <w:p w14:paraId="3CC73A4E" w14:textId="77777777" w:rsidR="00124C22" w:rsidRDefault="00124C22" w:rsidP="002311AB">
      <w:pPr>
        <w:jc w:val="center"/>
      </w:pPr>
    </w:p>
    <w:sectPr w:rsidR="0012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AE22" w14:textId="77777777" w:rsidR="00382089" w:rsidRDefault="00382089" w:rsidP="001016D7">
      <w:pPr>
        <w:spacing w:after="0" w:line="240" w:lineRule="auto"/>
      </w:pPr>
      <w:r>
        <w:separator/>
      </w:r>
    </w:p>
  </w:endnote>
  <w:endnote w:type="continuationSeparator" w:id="0">
    <w:p w14:paraId="4B80340F" w14:textId="77777777" w:rsidR="00382089" w:rsidRDefault="00382089" w:rsidP="0010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8567" w14:textId="77777777" w:rsidR="00382089" w:rsidRDefault="00382089" w:rsidP="001016D7">
      <w:pPr>
        <w:spacing w:after="0" w:line="240" w:lineRule="auto"/>
      </w:pPr>
      <w:r>
        <w:separator/>
      </w:r>
    </w:p>
  </w:footnote>
  <w:footnote w:type="continuationSeparator" w:id="0">
    <w:p w14:paraId="1BC23AF6" w14:textId="77777777" w:rsidR="00382089" w:rsidRDefault="00382089" w:rsidP="0010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AC6F" w14:textId="1A086E41" w:rsidR="001016D7" w:rsidRDefault="001016D7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07A75C6" wp14:editId="0259BFBF">
          <wp:simplePos x="0" y="0"/>
          <wp:positionH relativeFrom="margin">
            <wp:posOffset>2576830</wp:posOffset>
          </wp:positionH>
          <wp:positionV relativeFrom="paragraph">
            <wp:posOffset>-302260</wp:posOffset>
          </wp:positionV>
          <wp:extent cx="1295400" cy="692028"/>
          <wp:effectExtent l="0" t="0" r="0" b="0"/>
          <wp:wrapNone/>
          <wp:docPr id="7" name="Obrázek 7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92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CDC8A8" wp14:editId="2E1818BF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2359301" cy="514350"/>
          <wp:effectExtent l="0" t="0" r="317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33" b="-3293"/>
                  <a:stretch/>
                </pic:blipFill>
                <pic:spPr bwMode="auto">
                  <a:xfrm>
                    <a:off x="0" y="0"/>
                    <a:ext cx="2359301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18477B" wp14:editId="0C670BA8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1532890" cy="342900"/>
          <wp:effectExtent l="0" t="0" r="0" b="0"/>
          <wp:wrapNone/>
          <wp:docPr id="2" name="Obrázek 2" descr="Obsah obrázku text, Písmo, bílé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D7"/>
    <w:rsid w:val="00005309"/>
    <w:rsid w:val="00053AD3"/>
    <w:rsid w:val="00084044"/>
    <w:rsid w:val="000C2DB5"/>
    <w:rsid w:val="000D0AAC"/>
    <w:rsid w:val="001016D7"/>
    <w:rsid w:val="00103077"/>
    <w:rsid w:val="00124C22"/>
    <w:rsid w:val="00145E46"/>
    <w:rsid w:val="00155958"/>
    <w:rsid w:val="00163E2E"/>
    <w:rsid w:val="001C14E3"/>
    <w:rsid w:val="001E7A8A"/>
    <w:rsid w:val="002250F4"/>
    <w:rsid w:val="002311AB"/>
    <w:rsid w:val="00244313"/>
    <w:rsid w:val="00265FC7"/>
    <w:rsid w:val="002D2939"/>
    <w:rsid w:val="002E52BE"/>
    <w:rsid w:val="002E6FF7"/>
    <w:rsid w:val="003812A7"/>
    <w:rsid w:val="00382089"/>
    <w:rsid w:val="00383619"/>
    <w:rsid w:val="003C2ACA"/>
    <w:rsid w:val="003D758F"/>
    <w:rsid w:val="003F3499"/>
    <w:rsid w:val="003F66BB"/>
    <w:rsid w:val="003F6BA0"/>
    <w:rsid w:val="00412568"/>
    <w:rsid w:val="00414901"/>
    <w:rsid w:val="00434F87"/>
    <w:rsid w:val="00460AE8"/>
    <w:rsid w:val="00466A6F"/>
    <w:rsid w:val="004C565C"/>
    <w:rsid w:val="004D7D35"/>
    <w:rsid w:val="004E1E30"/>
    <w:rsid w:val="00525407"/>
    <w:rsid w:val="005401AF"/>
    <w:rsid w:val="005A0585"/>
    <w:rsid w:val="005B6C67"/>
    <w:rsid w:val="005D1035"/>
    <w:rsid w:val="005F4E27"/>
    <w:rsid w:val="0061230B"/>
    <w:rsid w:val="00633D6C"/>
    <w:rsid w:val="00636C08"/>
    <w:rsid w:val="0067435D"/>
    <w:rsid w:val="006F1131"/>
    <w:rsid w:val="006F67BF"/>
    <w:rsid w:val="0070606A"/>
    <w:rsid w:val="007149A7"/>
    <w:rsid w:val="007325F3"/>
    <w:rsid w:val="00734A6C"/>
    <w:rsid w:val="0074643F"/>
    <w:rsid w:val="00771D49"/>
    <w:rsid w:val="007B4AB6"/>
    <w:rsid w:val="007D2E9F"/>
    <w:rsid w:val="007E05D0"/>
    <w:rsid w:val="008407C7"/>
    <w:rsid w:val="00893E1D"/>
    <w:rsid w:val="00897AC0"/>
    <w:rsid w:val="008A7496"/>
    <w:rsid w:val="008B042C"/>
    <w:rsid w:val="008B5054"/>
    <w:rsid w:val="008C5C03"/>
    <w:rsid w:val="008E7D01"/>
    <w:rsid w:val="008F3C72"/>
    <w:rsid w:val="00932F30"/>
    <w:rsid w:val="009D40E4"/>
    <w:rsid w:val="009E0D2C"/>
    <w:rsid w:val="00A605C4"/>
    <w:rsid w:val="00B957A3"/>
    <w:rsid w:val="00BA711E"/>
    <w:rsid w:val="00C00FFE"/>
    <w:rsid w:val="00C4175D"/>
    <w:rsid w:val="00C65A26"/>
    <w:rsid w:val="00C74FF3"/>
    <w:rsid w:val="00C7611E"/>
    <w:rsid w:val="00CA0C22"/>
    <w:rsid w:val="00CA1BE8"/>
    <w:rsid w:val="00CC4894"/>
    <w:rsid w:val="00D638AF"/>
    <w:rsid w:val="00DC4BE7"/>
    <w:rsid w:val="00DE41EC"/>
    <w:rsid w:val="00E603AC"/>
    <w:rsid w:val="00E674F3"/>
    <w:rsid w:val="00E84245"/>
    <w:rsid w:val="00ED2697"/>
    <w:rsid w:val="00ED355E"/>
    <w:rsid w:val="00EF4A33"/>
    <w:rsid w:val="00F0733F"/>
    <w:rsid w:val="00F53C92"/>
    <w:rsid w:val="00F73058"/>
    <w:rsid w:val="00FB6DF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FA28"/>
  <w15:chartTrackingRefBased/>
  <w15:docId w15:val="{B9912C12-EACB-495E-94AE-01113901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6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6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6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6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6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0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0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016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016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016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6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016D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6D7"/>
  </w:style>
  <w:style w:type="paragraph" w:styleId="Zpat">
    <w:name w:val="footer"/>
    <w:basedOn w:val="Normln"/>
    <w:link w:val="ZpatChar"/>
    <w:uiPriority w:val="99"/>
    <w:unhideWhenUsed/>
    <w:rsid w:val="001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6D7"/>
  </w:style>
  <w:style w:type="table" w:styleId="Mkatabulky">
    <w:name w:val="Table Grid"/>
    <w:basedOn w:val="Normlntabulka"/>
    <w:uiPriority w:val="39"/>
    <w:rsid w:val="0010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1016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unhideWhenUsed/>
    <w:rsid w:val="005F4E2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4E27"/>
    <w:rPr>
      <w:color w:val="605E5C"/>
      <w:shd w:val="clear" w:color="auto" w:fill="E1DFDD"/>
    </w:rPr>
  </w:style>
  <w:style w:type="paragraph" w:customStyle="1" w:styleId="Default">
    <w:name w:val="Default"/>
    <w:rsid w:val="005D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ak.gov.cz/UserFiles/File/1740750181text-v-zvy-technologie-pro-mas-clld-v-zva-i-aktual-27-2-202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slavka.cz/aktualni-vyzv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zednickova@oslavka.cz" TargetMode="External"/><Relationship Id="rId10" Type="http://schemas.openxmlformats.org/officeDocument/2006/relationships/hyperlink" Target="https://www.oslavka.cz/aktualni-vyzvy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optak.gov.cz/UserFiles/File/1740741986pravidla-pro-adatele-a-p-jemce-obecn-st-verze-7-ist-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0BD1DD4569747830CBD13473D3A17" ma:contentTypeVersion="15" ma:contentTypeDescription="Vytvoří nový dokument" ma:contentTypeScope="" ma:versionID="1efe15615d53153874ebb701f72c7752">
  <xsd:schema xmlns:xsd="http://www.w3.org/2001/XMLSchema" xmlns:xs="http://www.w3.org/2001/XMLSchema" xmlns:p="http://schemas.microsoft.com/office/2006/metadata/properties" xmlns:ns2="216afd6b-6b44-42c2-8532-861993240175" xmlns:ns3="7c6140ed-a372-4921-b78a-ea562b0f8f8d" targetNamespace="http://schemas.microsoft.com/office/2006/metadata/properties" ma:root="true" ma:fieldsID="c42654d135d3bc3e8807341e75dae5af" ns2:_="" ns3:_="">
    <xsd:import namespace="216afd6b-6b44-42c2-8532-861993240175"/>
    <xsd:import namespace="7c6140ed-a372-4921-b78a-ea562b0f8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d6b-6b44-42c2-8532-86199324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5b53067-0036-4c15-b40f-06e21f850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140ed-a372-4921-b78a-ea562b0f8f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01f6dd-316f-435e-a31d-edde2df6a34e}" ma:internalName="TaxCatchAll" ma:showField="CatchAllData" ma:web="7c6140ed-a372-4921-b78a-ea562b0f8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6140ed-a372-4921-b78a-ea562b0f8f8d" xsi:nil="true"/>
    <lcf76f155ced4ddcb4097134ff3c332f xmlns="216afd6b-6b44-42c2-8532-861993240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FA58D-C777-4F24-8315-B2B41CBE40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688D48-7A56-44D2-A9C1-5EC7C64FE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fd6b-6b44-42c2-8532-861993240175"/>
    <ds:schemaRef ds:uri="7c6140ed-a372-4921-b78a-ea562b0f8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C8A79-E43A-4F8C-9B2C-77776246B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112C9-3E81-45CC-9457-AB3CF56CD8FF}">
  <ds:schemaRefs>
    <ds:schemaRef ds:uri="http://schemas.microsoft.com/office/2006/metadata/properties"/>
    <ds:schemaRef ds:uri="http://schemas.microsoft.com/office/infopath/2007/PartnerControls"/>
    <ds:schemaRef ds:uri="7c6140ed-a372-4921-b78a-ea562b0f8f8d"/>
    <ds:schemaRef ds:uri="216afd6b-6b44-42c2-8532-8619932401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1722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Zedníčková</dc:creator>
  <cp:keywords/>
  <dc:description/>
  <cp:lastModifiedBy>Šárka Zedníčková</cp:lastModifiedBy>
  <cp:revision>3</cp:revision>
  <dcterms:created xsi:type="dcterms:W3CDTF">2025-04-07T12:19:00Z</dcterms:created>
  <dcterms:modified xsi:type="dcterms:W3CDTF">2025-04-07T12:22:00Z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0x0101005CA0BD1DD4569747830CBD13473D3A17</vt:lpwstr>
  </property>
  <property fmtid="{D5CDD505-2E9C-101B-9397-08002B2CF9AE}" pid="3" name="MediaServiceImageTags">
    <vt:lpwstr/>
  </property>
</Properties>
</file>